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CDB8F" w14:textId="0F33EBAA" w:rsidR="00836EF3" w:rsidRPr="00950423" w:rsidRDefault="00836EF3" w:rsidP="00836EF3">
      <w:pPr>
        <w:rPr>
          <w:rFonts w:ascii="Roboto" w:hAnsi="Roboto"/>
          <w:sz w:val="24"/>
          <w:szCs w:val="24"/>
        </w:rPr>
      </w:pPr>
      <w:bookmarkStart w:id="0" w:name="_Hlk166260459"/>
      <w:r w:rsidRPr="00950423">
        <w:rPr>
          <w:rFonts w:ascii="Roboto" w:hAnsi="Roboto"/>
          <w:sz w:val="24"/>
          <w:szCs w:val="24"/>
        </w:rPr>
        <w:t>Actualizaciones económicas regionales</w:t>
      </w:r>
    </w:p>
    <w:bookmarkEnd w:id="0"/>
    <w:p w14:paraId="246A7F29" w14:textId="74472A95" w:rsidR="00836EF3" w:rsidRPr="00836EF3" w:rsidRDefault="00836EF3" w:rsidP="00836EF3">
      <w:r w:rsidRPr="00836EF3">
        <w:rPr>
          <w:noProof/>
        </w:rPr>
        <w:drawing>
          <wp:inline distT="0" distB="0" distL="0" distR="0" wp14:anchorId="3FDFA801" wp14:editId="4A27CF43">
            <wp:extent cx="5612130" cy="3159760"/>
            <wp:effectExtent l="0" t="0" r="7620" b="2540"/>
            <wp:docPr id="7" name="Imagen 7" descr="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2130" cy="3159760"/>
                    </a:xfrm>
                    <a:prstGeom prst="rect">
                      <a:avLst/>
                    </a:prstGeom>
                    <a:noFill/>
                    <a:ln>
                      <a:noFill/>
                    </a:ln>
                  </pic:spPr>
                </pic:pic>
              </a:graphicData>
            </a:graphic>
          </wp:inline>
        </w:drawing>
      </w:r>
    </w:p>
    <w:p w14:paraId="249D0064" w14:textId="77777777" w:rsidR="00836EF3" w:rsidRPr="00836EF3" w:rsidRDefault="00772979" w:rsidP="00836EF3">
      <w:r>
        <w:pict w14:anchorId="023D04AF">
          <v:rect id="_x0000_i1025" style="width:0;height:0" o:hralign="center" o:hrstd="t" o:hr="t" fillcolor="#a0a0a0" stroked="f"/>
        </w:pict>
      </w:r>
    </w:p>
    <w:p w14:paraId="3624D485" w14:textId="3AB9B8EB" w:rsidR="00836EF3" w:rsidRPr="00836EF3" w:rsidRDefault="00836EF3" w:rsidP="00836EF3">
      <w:pPr>
        <w:jc w:val="both"/>
      </w:pPr>
      <w:r w:rsidRPr="00836EF3">
        <w:t>A continuación</w:t>
      </w:r>
      <w:r>
        <w:t>,</w:t>
      </w:r>
      <w:r w:rsidRPr="00836EF3">
        <w:t xml:space="preserve"> se presentan las últimas actualizaciones económicas regionales semestrales para explorar las tendencias macroeconómicas de desarrollo en África, Asia oriental y el Pacífico, Europa y Asia central, América Latina y el Caribe, Oriente Medio y África del Norte, y Asia meridional.</w:t>
      </w:r>
    </w:p>
    <w:p w14:paraId="3DF9C423" w14:textId="77777777" w:rsidR="00836EF3" w:rsidRPr="00836EF3" w:rsidRDefault="00836EF3" w:rsidP="00836EF3">
      <w:pPr>
        <w:jc w:val="both"/>
      </w:pPr>
      <w:r w:rsidRPr="00836EF3">
        <w:t>Estos informes se publican en el marco de las Reuniones de Primavera 2024 del Banco Mundial y el Fondo Monetario Internacional en Washington, DC, que se celebran del 15 al 20 de abril.</w:t>
      </w:r>
    </w:p>
    <w:p w14:paraId="31E65A0B" w14:textId="77777777" w:rsidR="00836EF3" w:rsidRPr="00836EF3" w:rsidRDefault="00772979" w:rsidP="00836EF3">
      <w:r>
        <w:pict w14:anchorId="79E96AA3">
          <v:rect id="_x0000_i1026" style="width:0;height:0" o:hralign="center" o:hrstd="t" o:hr="t" fillcolor="#a0a0a0" stroked="f"/>
        </w:pict>
      </w:r>
    </w:p>
    <w:p w14:paraId="6D191DFA" w14:textId="0FA59083" w:rsidR="00836EF3" w:rsidRPr="00836EF3" w:rsidRDefault="00836EF3" w:rsidP="00836EF3">
      <w:pPr>
        <w:rPr>
          <w:b/>
          <w:bCs/>
        </w:rPr>
      </w:pPr>
      <w:r w:rsidRPr="00836EF3">
        <w:rPr>
          <w:b/>
          <w:bCs/>
        </w:rPr>
        <w:t>Asia Oriental y el Pacífico</w:t>
      </w:r>
    </w:p>
    <w:p w14:paraId="779FF2AF" w14:textId="2DBA0BF9" w:rsidR="00836EF3" w:rsidRPr="00836EF3" w:rsidRDefault="00836EF3" w:rsidP="00836EF3">
      <w:r w:rsidRPr="00836EF3">
        <w:rPr>
          <w:noProof/>
        </w:rPr>
        <w:drawing>
          <wp:inline distT="0" distB="0" distL="0" distR="0" wp14:anchorId="0AACF0D9" wp14:editId="6AE1525C">
            <wp:extent cx="1638300" cy="2120854"/>
            <wp:effectExtent l="0" t="0" r="0" b="0"/>
            <wp:docPr id="6" name="Imagen 6" descr="Portada del Informe de Actualización Económica de Asia Oriental y el Pacíf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ortada del Informe de Actualización Económica de Asia Oriental y el Pacífi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43303" cy="2127331"/>
                    </a:xfrm>
                    <a:prstGeom prst="rect">
                      <a:avLst/>
                    </a:prstGeom>
                    <a:noFill/>
                    <a:ln>
                      <a:noFill/>
                    </a:ln>
                  </pic:spPr>
                </pic:pic>
              </a:graphicData>
            </a:graphic>
          </wp:inline>
        </w:drawing>
      </w:r>
    </w:p>
    <w:p w14:paraId="40153970" w14:textId="59E4ABB3" w:rsidR="00950423" w:rsidRDefault="00836EF3" w:rsidP="00836EF3">
      <w:pPr>
        <w:jc w:val="both"/>
      </w:pPr>
      <w:r w:rsidRPr="00836EF3">
        <w:t xml:space="preserve">La región de Asia Oriental y el Pacífico está creciendo más rápido que el resto del mundo, pero más lentamente que antes de la pandemia. Si bien la recuperación del comercio mundial y la relajación </w:t>
      </w:r>
      <w:r w:rsidRPr="00836EF3">
        <w:lastRenderedPageBreak/>
        <w:t>de las condiciones financieras respaldarán a las economías regionales, el aumento del proteccionismo y la incertidumbre política frenarán el crecimiento. En medio de las turbulencias macroeconómicas, los cimientos microeconómicos sólidos son fundamentales para el crecimiento a largo plazo. Las empresas desempeñan un papel fundamental en el impulso de la productividad, pero las empresas líderes de la región no están aprovechando plenamente las nuevas tecnologías. ¿Cómo pueden estas empresas ponerse al día con los líderes mundiales? ¿Qué se puede hacer para estimular el crecimiento de la productividad?</w:t>
      </w:r>
    </w:p>
    <w:p w14:paraId="349BDC5A" w14:textId="77777777" w:rsidR="00950423" w:rsidRDefault="00950423" w:rsidP="00836EF3">
      <w:pPr>
        <w:jc w:val="both"/>
      </w:pPr>
    </w:p>
    <w:p w14:paraId="596704C9" w14:textId="6BF966AB" w:rsidR="00836EF3" w:rsidRPr="00836EF3" w:rsidRDefault="00950423" w:rsidP="00836EF3">
      <w:pPr>
        <w:rPr>
          <w:b/>
          <w:bCs/>
        </w:rPr>
      </w:pPr>
      <w:r>
        <w:rPr>
          <w:b/>
          <w:bCs/>
        </w:rPr>
        <w:t>A</w:t>
      </w:r>
      <w:r w:rsidR="00836EF3" w:rsidRPr="00836EF3">
        <w:rPr>
          <w:b/>
          <w:bCs/>
        </w:rPr>
        <w:t>sia meridional</w:t>
      </w:r>
    </w:p>
    <w:p w14:paraId="602F679D" w14:textId="72F53AF0" w:rsidR="00836EF3" w:rsidRPr="00836EF3" w:rsidRDefault="00836EF3" w:rsidP="00836EF3">
      <w:r w:rsidRPr="00836EF3">
        <w:rPr>
          <w:noProof/>
        </w:rPr>
        <w:drawing>
          <wp:inline distT="0" distB="0" distL="0" distR="0" wp14:anchorId="27A0622A" wp14:editId="0CBE1340">
            <wp:extent cx="2095500" cy="2712720"/>
            <wp:effectExtent l="0" t="0" r="0" b="0"/>
            <wp:docPr id="5" name="Imagen 5" descr="Cubierta SA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bierta SA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95500" cy="2712720"/>
                    </a:xfrm>
                    <a:prstGeom prst="rect">
                      <a:avLst/>
                    </a:prstGeom>
                    <a:noFill/>
                    <a:ln>
                      <a:noFill/>
                    </a:ln>
                  </pic:spPr>
                </pic:pic>
              </a:graphicData>
            </a:graphic>
          </wp:inline>
        </w:drawing>
      </w:r>
    </w:p>
    <w:p w14:paraId="15A6CEA6" w14:textId="5A6138DE" w:rsidR="00836EF3" w:rsidRDefault="00836EF3" w:rsidP="00836EF3">
      <w:pPr>
        <w:jc w:val="both"/>
      </w:pPr>
      <w:r w:rsidRPr="00836EF3">
        <w:t>Se espera que Asia meridional siga siendo la región de más rápido crecimiento del mundo, gracias al sólido crecimiento de la India. Sin embargo, esta fuerte perspectiva es engañosa. En la mayoría de los países, el crecimiento sigue estando por debajo de los niveles anteriores a la pandemia y depende más del gasto público que en otros lugares. Al mismo tiempo, la inversión privada sigue siendo débil y la región no está creando suficientes puestos de trabajo para seguir el ritmo de su creciente población en edad de trabajar. Para que el crecimiento sea más resiliente y sostenido, los países deben adoptar políticas que impulsen la inversión privada y fortalezcan el crecimiento del empleo. Las medidas para estimular el crecimiento de las empresas e impulsar el empleo ayudarán a impulsar el crecimiento y la productividad y liberarán espacio para las inversiones públicas en adaptación al cambio climático.</w:t>
      </w:r>
    </w:p>
    <w:p w14:paraId="5ECF841F" w14:textId="5A0C938B" w:rsidR="00950423" w:rsidRDefault="00950423" w:rsidP="00836EF3">
      <w:pPr>
        <w:jc w:val="both"/>
      </w:pPr>
    </w:p>
    <w:p w14:paraId="2F85261F" w14:textId="221438F2" w:rsidR="00950423" w:rsidRDefault="00950423" w:rsidP="00836EF3">
      <w:pPr>
        <w:jc w:val="both"/>
      </w:pPr>
    </w:p>
    <w:p w14:paraId="7CD972E7" w14:textId="3D1A03B3" w:rsidR="00950423" w:rsidRDefault="00950423" w:rsidP="00836EF3">
      <w:pPr>
        <w:jc w:val="both"/>
      </w:pPr>
    </w:p>
    <w:p w14:paraId="2A0CC691" w14:textId="267C3EDE" w:rsidR="00950423" w:rsidRDefault="00950423" w:rsidP="00836EF3">
      <w:pPr>
        <w:jc w:val="both"/>
      </w:pPr>
    </w:p>
    <w:p w14:paraId="0784962E" w14:textId="77777777" w:rsidR="00772979" w:rsidRPr="00836EF3" w:rsidRDefault="00772979" w:rsidP="00836EF3">
      <w:pPr>
        <w:jc w:val="both"/>
      </w:pPr>
    </w:p>
    <w:p w14:paraId="4AC7013A" w14:textId="3DD440F0" w:rsidR="00836EF3" w:rsidRPr="00836EF3" w:rsidRDefault="00836EF3" w:rsidP="00836EF3">
      <w:pPr>
        <w:rPr>
          <w:b/>
          <w:bCs/>
        </w:rPr>
      </w:pPr>
      <w:r w:rsidRPr="00836EF3">
        <w:rPr>
          <w:b/>
          <w:bCs/>
        </w:rPr>
        <w:lastRenderedPageBreak/>
        <w:t>África</w:t>
      </w:r>
    </w:p>
    <w:p w14:paraId="4F86DEEB" w14:textId="1BAEE9A4" w:rsidR="00836EF3" w:rsidRPr="00836EF3" w:rsidRDefault="00836EF3" w:rsidP="00836EF3">
      <w:r w:rsidRPr="00836EF3">
        <w:rPr>
          <w:noProof/>
        </w:rPr>
        <w:drawing>
          <wp:inline distT="0" distB="0" distL="0" distR="0" wp14:anchorId="4EE2BAFA" wp14:editId="0D01DE04">
            <wp:extent cx="2095500" cy="2712720"/>
            <wp:effectExtent l="0" t="0" r="0" b="0"/>
            <wp:docPr id="4" name="Imagen 4" descr="Africa Pulse Abril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frica Pulse Abril 20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95500" cy="2712720"/>
                    </a:xfrm>
                    <a:prstGeom prst="rect">
                      <a:avLst/>
                    </a:prstGeom>
                    <a:noFill/>
                    <a:ln>
                      <a:noFill/>
                    </a:ln>
                  </pic:spPr>
                </pic:pic>
              </a:graphicData>
            </a:graphic>
          </wp:inline>
        </w:drawing>
      </w:r>
    </w:p>
    <w:p w14:paraId="0422B6D7" w14:textId="472A68AA" w:rsidR="00836EF3" w:rsidRDefault="00836EF3" w:rsidP="00836EF3">
      <w:pPr>
        <w:jc w:val="both"/>
      </w:pPr>
      <w:r w:rsidRPr="00836EF3">
        <w:t>Se prevé que la actividad económica se recupere en el África subsahariana, respaldada por el aumento del consumo privado y la disminución de la inflación. Este informe proyecta que el crecimiento se acelerará de un mínimo de 2,6 por ciento en 2023 a 3,4 por ciento en 2024. Sin embargo, la recuperación sigue siendo frágil debido a la incertidumbre de las condiciones económicas mundiales, el aumento de los pagos del servicio de la deuda, los frecuentes desastres relacionados con el clima y la escalada de los conflictos y la violencia. A pesar del impulso proyectado para el crecimiento, el ritmo de expansión económica en la región sigue siendo inferior a la tasa de crecimiento de la década anterior (2000-2014) y es insuficiente para tener un efecto significativo en la reducción de la pobreza. Se necesitan políticas transformadoras para abordar la desigualdad profundamente arraigada que impide que el África subsahariana mantenga el crecimiento a largo plazo y reduzca efectivamente la pobreza.</w:t>
      </w:r>
    </w:p>
    <w:p w14:paraId="40FE203E" w14:textId="77777777" w:rsidR="00950423" w:rsidRPr="00836EF3" w:rsidRDefault="00950423" w:rsidP="00836EF3">
      <w:pPr>
        <w:jc w:val="both"/>
      </w:pPr>
    </w:p>
    <w:p w14:paraId="68FE66F0" w14:textId="176C79C9" w:rsidR="00836EF3" w:rsidRPr="00836EF3" w:rsidRDefault="00836EF3" w:rsidP="00836EF3">
      <w:pPr>
        <w:rPr>
          <w:b/>
          <w:bCs/>
        </w:rPr>
      </w:pPr>
      <w:r w:rsidRPr="00836EF3">
        <w:rPr>
          <w:b/>
          <w:bCs/>
        </w:rPr>
        <w:t>Europa y Asia Central</w:t>
      </w:r>
    </w:p>
    <w:p w14:paraId="02BFEB79" w14:textId="101FA37D" w:rsidR="00836EF3" w:rsidRPr="00836EF3" w:rsidRDefault="00836EF3" w:rsidP="00836EF3">
      <w:r w:rsidRPr="00836EF3">
        <w:rPr>
          <w:noProof/>
        </w:rPr>
        <w:drawing>
          <wp:inline distT="0" distB="0" distL="0" distR="0" wp14:anchorId="6B2BDADD" wp14:editId="3CFB208B">
            <wp:extent cx="1624601" cy="2103120"/>
            <wp:effectExtent l="0" t="0" r="0" b="0"/>
            <wp:docPr id="3" name="Imagen 3" descr="Portada de la Actualización Económica del TCE Primavera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ortada de la Actualización Económica del TCE Primavera 20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0397" cy="2110623"/>
                    </a:xfrm>
                    <a:prstGeom prst="rect">
                      <a:avLst/>
                    </a:prstGeom>
                    <a:noFill/>
                    <a:ln>
                      <a:noFill/>
                    </a:ln>
                  </pic:spPr>
                </pic:pic>
              </a:graphicData>
            </a:graphic>
          </wp:inline>
        </w:drawing>
      </w:r>
    </w:p>
    <w:p w14:paraId="17B922C1" w14:textId="7027C63C" w:rsidR="00836EF3" w:rsidRDefault="00836EF3" w:rsidP="00836EF3">
      <w:pPr>
        <w:jc w:val="both"/>
      </w:pPr>
      <w:r w:rsidRPr="00836EF3">
        <w:lastRenderedPageBreak/>
        <w:t>Se espera que la actividad económica en la región de Europa y Asia Central siga siendo resiliente, pero lenta este año, ya que la debilidad de la economía mundial, la desaceleración de China y la caída de los precios de las materias primas pesan sobre las perspectivas de crecimiento de la región. Es probable que el crecimiento regional caiga al 2,8 % en 2024, tras un fortalecimiento sustancial al 3,3 % el año pasado debido a un cambio de la contracción a la expansión en la Federación de Rusia y Ucrania, afectada por la guerra, y una recuperación más sólida en Asia central. La lentitud del crecimiento retrasa aún más la recuperación de la región de los efectos de las perturbaciones del pasado y la reanudación del dinamismo económico.</w:t>
      </w:r>
    </w:p>
    <w:p w14:paraId="40ECD239" w14:textId="77777777" w:rsidR="00950423" w:rsidRPr="00836EF3" w:rsidRDefault="00950423" w:rsidP="00836EF3">
      <w:pPr>
        <w:jc w:val="both"/>
      </w:pPr>
    </w:p>
    <w:p w14:paraId="522B37AB" w14:textId="590B5CCF" w:rsidR="00836EF3" w:rsidRPr="00836EF3" w:rsidRDefault="00836EF3" w:rsidP="00836EF3">
      <w:pPr>
        <w:rPr>
          <w:b/>
          <w:bCs/>
        </w:rPr>
      </w:pPr>
      <w:r w:rsidRPr="00836EF3">
        <w:rPr>
          <w:b/>
          <w:bCs/>
        </w:rPr>
        <w:t>América Latina y el Caribe</w:t>
      </w:r>
    </w:p>
    <w:p w14:paraId="5F038418" w14:textId="7087280A" w:rsidR="00836EF3" w:rsidRPr="00836EF3" w:rsidRDefault="00836EF3" w:rsidP="00836EF3">
      <w:r w:rsidRPr="00836EF3">
        <w:rPr>
          <w:noProof/>
        </w:rPr>
        <w:drawing>
          <wp:inline distT="0" distB="0" distL="0" distR="0" wp14:anchorId="0C784C85" wp14:editId="75D7BD54">
            <wp:extent cx="2095500" cy="2712720"/>
            <wp:effectExtent l="0" t="0" r="0" b="0"/>
            <wp:docPr id="2" name="Imagen 2" descr="Portada para el informe en 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ortada para el informe en inglé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712720"/>
                    </a:xfrm>
                    <a:prstGeom prst="rect">
                      <a:avLst/>
                    </a:prstGeom>
                    <a:noFill/>
                    <a:ln>
                      <a:noFill/>
                    </a:ln>
                  </pic:spPr>
                </pic:pic>
              </a:graphicData>
            </a:graphic>
          </wp:inline>
        </w:drawing>
      </w:r>
    </w:p>
    <w:p w14:paraId="24EF78EB" w14:textId="38B0606A" w:rsidR="00836EF3" w:rsidRDefault="00836EF3" w:rsidP="00836EF3">
      <w:pPr>
        <w:jc w:val="both"/>
      </w:pPr>
      <w:r w:rsidRPr="00836EF3">
        <w:t>El informe estima que el producto interno bruto regional crecerá 1.6 por ciento en 2024, ligeramente por debajo del 2.0 por ciento proyectado en octubre pasado. Para 2025 y 2026 se esperan tasas de crecimiento de 2,7 y 2,6 por ciento, respectivamente. Estas tasas son las más bajas en comparación con todas las demás regiones del mundo e insuficientes para impulsar la prosperidad. Dado que las transferencias sociales están disminuyendo y los salarios aún no se han recuperado a las cifras anteriores a la pandemia, muchos hogares están bajo presión. Un punto positivo en la región ha sido el manejo de la inflación, que refleja décadas de sólidas reformas macroeconómicas. La inflación regional, excluyendo unos pocos países, se sitúa en el 3,5 por ciento, frente al 5,7 por ciento de los países de la OCDE. Fomentar la competencia es fundamental para reactivar la economía y recuperar la confianza de los inversores. La región tiene bajos niveles de competencia, lo que socava la innovación y la productividad. Los consumidores también son penalizados, enfrentándose a márgenes de beneficio más altos que el resto del mundo.</w:t>
      </w:r>
    </w:p>
    <w:p w14:paraId="616FA5B6" w14:textId="133523D7" w:rsidR="00950423" w:rsidRDefault="00950423" w:rsidP="00836EF3">
      <w:pPr>
        <w:jc w:val="both"/>
      </w:pPr>
    </w:p>
    <w:p w14:paraId="78ACB815" w14:textId="5849BA3C" w:rsidR="00950423" w:rsidRDefault="00950423" w:rsidP="00836EF3">
      <w:pPr>
        <w:jc w:val="both"/>
      </w:pPr>
    </w:p>
    <w:p w14:paraId="1F7A6E5C" w14:textId="36E87BBD" w:rsidR="00950423" w:rsidRDefault="00950423" w:rsidP="00836EF3">
      <w:pPr>
        <w:jc w:val="both"/>
      </w:pPr>
    </w:p>
    <w:p w14:paraId="6D97FD5C" w14:textId="3699A273" w:rsidR="00836EF3" w:rsidRPr="00836EF3" w:rsidRDefault="00836EF3" w:rsidP="00836EF3">
      <w:pPr>
        <w:rPr>
          <w:b/>
          <w:bCs/>
        </w:rPr>
      </w:pPr>
      <w:r w:rsidRPr="00836EF3">
        <w:rPr>
          <w:b/>
          <w:bCs/>
        </w:rPr>
        <w:lastRenderedPageBreak/>
        <w:t>Oriente Medio y Norte de África</w:t>
      </w:r>
    </w:p>
    <w:p w14:paraId="7ADFB611" w14:textId="5C4D15BB" w:rsidR="00836EF3" w:rsidRPr="00836EF3" w:rsidRDefault="00836EF3" w:rsidP="00836EF3">
      <w:r w:rsidRPr="00836EF3">
        <w:rPr>
          <w:noProof/>
        </w:rPr>
        <w:drawing>
          <wp:inline distT="0" distB="0" distL="0" distR="0" wp14:anchorId="7E1C4415" wp14:editId="2D56216D">
            <wp:extent cx="2095500" cy="2712720"/>
            <wp:effectExtent l="0" t="0" r="0" b="0"/>
            <wp:docPr id="1" name="Imagen 1" descr="MEU Abril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U Abril 20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0" cy="2712720"/>
                    </a:xfrm>
                    <a:prstGeom prst="rect">
                      <a:avLst/>
                    </a:prstGeom>
                    <a:noFill/>
                    <a:ln>
                      <a:noFill/>
                    </a:ln>
                  </pic:spPr>
                </pic:pic>
              </a:graphicData>
            </a:graphic>
          </wp:inline>
        </w:drawing>
      </w:r>
    </w:p>
    <w:p w14:paraId="7358AFEC" w14:textId="1B396090" w:rsidR="00836EF3" w:rsidRDefault="00836EF3" w:rsidP="00836EF3">
      <w:pPr>
        <w:jc w:val="both"/>
      </w:pPr>
      <w:r w:rsidRPr="00836EF3">
        <w:t>Se espera que la región de Oriente Medio y Norte de África (MENA) crezca modestamente en 2024, volviendo al bajo crecimiento que prevaleció en la década anterior a la pandemia. Además de examinar las perspectivas macroeconómicas de la región, esta edición de la Actualización Económica semestral de Oriente Medio y el Norte de África incluye dos secciones especiales. El primero se centra específicamente en las repercusiones económicas del conflicto en Oriente Medio en la economía palestina, así como en las economías de la región y más allá. En el segundo se examina la carga del aumento de los niveles de deuda en Oriente Medio y el Norte de África, destacando los desafíos a los que se enfrentan las economías importadoras y exportadoras de petróleo.</w:t>
      </w:r>
    </w:p>
    <w:p w14:paraId="033A2206" w14:textId="77777777" w:rsidR="00950423" w:rsidRPr="00836EF3" w:rsidRDefault="00950423" w:rsidP="00836EF3">
      <w:pPr>
        <w:jc w:val="both"/>
      </w:pPr>
    </w:p>
    <w:p w14:paraId="11885C89" w14:textId="17801EB1" w:rsidR="00E2261F" w:rsidRDefault="002E0AF3">
      <w:r w:rsidRPr="002E0AF3">
        <w:rPr>
          <w:noProof/>
        </w:rPr>
        <w:drawing>
          <wp:inline distT="0" distB="0" distL="0" distR="0" wp14:anchorId="33F70E38" wp14:editId="3C475477">
            <wp:extent cx="5612130" cy="1258570"/>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1258570"/>
                    </a:xfrm>
                    <a:prstGeom prst="rect">
                      <a:avLst/>
                    </a:prstGeom>
                  </pic:spPr>
                </pic:pic>
              </a:graphicData>
            </a:graphic>
          </wp:inline>
        </w:drawing>
      </w:r>
    </w:p>
    <w:p w14:paraId="29262E64" w14:textId="77777777" w:rsidR="002E0AF3" w:rsidRDefault="002E0AF3"/>
    <w:sectPr w:rsidR="002E0AF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10459"/>
    <w:multiLevelType w:val="multilevel"/>
    <w:tmpl w:val="E95A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EF3"/>
    <w:rsid w:val="002E0AF3"/>
    <w:rsid w:val="00772979"/>
    <w:rsid w:val="00836EF3"/>
    <w:rsid w:val="00950423"/>
    <w:rsid w:val="00E2261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7FE1808"/>
  <w15:chartTrackingRefBased/>
  <w15:docId w15:val="{75AB3259-F984-4458-BC36-291B841D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36EF3"/>
    <w:rPr>
      <w:color w:val="0563C1" w:themeColor="hyperlink"/>
      <w:u w:val="single"/>
    </w:rPr>
  </w:style>
  <w:style w:type="character" w:styleId="Mencinsinresolver">
    <w:name w:val="Unresolved Mention"/>
    <w:basedOn w:val="Fuentedeprrafopredeter"/>
    <w:uiPriority w:val="99"/>
    <w:semiHidden/>
    <w:unhideWhenUsed/>
    <w:rsid w:val="00836E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196321">
      <w:bodyDiv w:val="1"/>
      <w:marLeft w:val="0"/>
      <w:marRight w:val="0"/>
      <w:marTop w:val="0"/>
      <w:marBottom w:val="0"/>
      <w:divBdr>
        <w:top w:val="none" w:sz="0" w:space="0" w:color="auto"/>
        <w:left w:val="none" w:sz="0" w:space="0" w:color="auto"/>
        <w:bottom w:val="none" w:sz="0" w:space="0" w:color="auto"/>
        <w:right w:val="none" w:sz="0" w:space="0" w:color="auto"/>
      </w:divBdr>
      <w:divsChild>
        <w:div w:id="58990932">
          <w:marLeft w:val="0"/>
          <w:marRight w:val="0"/>
          <w:marTop w:val="0"/>
          <w:marBottom w:val="0"/>
          <w:divBdr>
            <w:top w:val="none" w:sz="0" w:space="0" w:color="auto"/>
            <w:left w:val="none" w:sz="0" w:space="0" w:color="auto"/>
            <w:bottom w:val="none" w:sz="0" w:space="0" w:color="auto"/>
            <w:right w:val="none" w:sz="0" w:space="0" w:color="auto"/>
          </w:divBdr>
          <w:divsChild>
            <w:div w:id="1819104312">
              <w:marLeft w:val="0"/>
              <w:marRight w:val="0"/>
              <w:marTop w:val="0"/>
              <w:marBottom w:val="0"/>
              <w:divBdr>
                <w:top w:val="none" w:sz="0" w:space="0" w:color="auto"/>
                <w:left w:val="none" w:sz="0" w:space="0" w:color="auto"/>
                <w:bottom w:val="none" w:sz="0" w:space="0" w:color="auto"/>
                <w:right w:val="none" w:sz="0" w:space="0" w:color="auto"/>
              </w:divBdr>
              <w:divsChild>
                <w:div w:id="1775318016">
                  <w:marLeft w:val="0"/>
                  <w:marRight w:val="0"/>
                  <w:marTop w:val="0"/>
                  <w:marBottom w:val="0"/>
                  <w:divBdr>
                    <w:top w:val="none" w:sz="0" w:space="0" w:color="auto"/>
                    <w:left w:val="none" w:sz="0" w:space="0" w:color="auto"/>
                    <w:bottom w:val="none" w:sz="0" w:space="0" w:color="auto"/>
                    <w:right w:val="none" w:sz="0" w:space="0" w:color="auto"/>
                  </w:divBdr>
                  <w:divsChild>
                    <w:div w:id="444689261">
                      <w:marLeft w:val="0"/>
                      <w:marRight w:val="0"/>
                      <w:marTop w:val="0"/>
                      <w:marBottom w:val="0"/>
                      <w:divBdr>
                        <w:top w:val="none" w:sz="0" w:space="0" w:color="auto"/>
                        <w:left w:val="none" w:sz="0" w:space="0" w:color="auto"/>
                        <w:bottom w:val="none" w:sz="0" w:space="0" w:color="auto"/>
                        <w:right w:val="none" w:sz="0" w:space="0" w:color="auto"/>
                      </w:divBdr>
                      <w:divsChild>
                        <w:div w:id="1205096664">
                          <w:marLeft w:val="0"/>
                          <w:marRight w:val="0"/>
                          <w:marTop w:val="0"/>
                          <w:marBottom w:val="0"/>
                          <w:divBdr>
                            <w:top w:val="none" w:sz="0" w:space="0" w:color="auto"/>
                            <w:left w:val="none" w:sz="0" w:space="0" w:color="auto"/>
                            <w:bottom w:val="none" w:sz="0" w:space="0" w:color="auto"/>
                            <w:right w:val="none" w:sz="0" w:space="0" w:color="auto"/>
                          </w:divBdr>
                          <w:divsChild>
                            <w:div w:id="598634689">
                              <w:marLeft w:val="0"/>
                              <w:marRight w:val="0"/>
                              <w:marTop w:val="0"/>
                              <w:marBottom w:val="0"/>
                              <w:divBdr>
                                <w:top w:val="none" w:sz="0" w:space="0" w:color="auto"/>
                                <w:left w:val="none" w:sz="0" w:space="0" w:color="auto"/>
                                <w:bottom w:val="none" w:sz="0" w:space="0" w:color="auto"/>
                                <w:right w:val="none" w:sz="0" w:space="0" w:color="auto"/>
                              </w:divBdr>
                              <w:divsChild>
                                <w:div w:id="1674145904">
                                  <w:marLeft w:val="-225"/>
                                  <w:marRight w:val="-225"/>
                                  <w:marTop w:val="0"/>
                                  <w:marBottom w:val="0"/>
                                  <w:divBdr>
                                    <w:top w:val="none" w:sz="0" w:space="0" w:color="auto"/>
                                    <w:left w:val="none" w:sz="0" w:space="0" w:color="auto"/>
                                    <w:bottom w:val="none" w:sz="0" w:space="0" w:color="auto"/>
                                    <w:right w:val="none" w:sz="0" w:space="0" w:color="auto"/>
                                  </w:divBdr>
                                  <w:divsChild>
                                    <w:div w:id="678891537">
                                      <w:marLeft w:val="0"/>
                                      <w:marRight w:val="0"/>
                                      <w:marTop w:val="0"/>
                                      <w:marBottom w:val="0"/>
                                      <w:divBdr>
                                        <w:top w:val="none" w:sz="0" w:space="0" w:color="auto"/>
                                        <w:left w:val="none" w:sz="0" w:space="0" w:color="auto"/>
                                        <w:bottom w:val="none" w:sz="0" w:space="0" w:color="auto"/>
                                        <w:right w:val="none" w:sz="0" w:space="0" w:color="auto"/>
                                      </w:divBdr>
                                      <w:divsChild>
                                        <w:div w:id="433868359">
                                          <w:marLeft w:val="0"/>
                                          <w:marRight w:val="0"/>
                                          <w:marTop w:val="0"/>
                                          <w:marBottom w:val="0"/>
                                          <w:divBdr>
                                            <w:top w:val="none" w:sz="0" w:space="0" w:color="auto"/>
                                            <w:left w:val="none" w:sz="0" w:space="0" w:color="auto"/>
                                            <w:bottom w:val="none" w:sz="0" w:space="0" w:color="auto"/>
                                            <w:right w:val="none" w:sz="0" w:space="0" w:color="auto"/>
                                          </w:divBdr>
                                          <w:divsChild>
                                            <w:div w:id="1539662222">
                                              <w:marLeft w:val="0"/>
                                              <w:marRight w:val="0"/>
                                              <w:marTop w:val="0"/>
                                              <w:marBottom w:val="0"/>
                                              <w:divBdr>
                                                <w:top w:val="none" w:sz="0" w:space="0" w:color="auto"/>
                                                <w:left w:val="none" w:sz="0" w:space="0" w:color="auto"/>
                                                <w:bottom w:val="none" w:sz="0" w:space="0" w:color="auto"/>
                                                <w:right w:val="none" w:sz="0" w:space="0" w:color="auto"/>
                                              </w:divBdr>
                                              <w:divsChild>
                                                <w:div w:id="1008362255">
                                                  <w:marLeft w:val="0"/>
                                                  <w:marRight w:val="0"/>
                                                  <w:marTop w:val="0"/>
                                                  <w:marBottom w:val="0"/>
                                                  <w:divBdr>
                                                    <w:top w:val="none" w:sz="0" w:space="0" w:color="auto"/>
                                                    <w:left w:val="none" w:sz="0" w:space="0" w:color="auto"/>
                                                    <w:bottom w:val="none" w:sz="0" w:space="0" w:color="auto"/>
                                                    <w:right w:val="none" w:sz="0" w:space="0" w:color="auto"/>
                                                  </w:divBdr>
                                                  <w:divsChild>
                                                    <w:div w:id="1661887960">
                                                      <w:marLeft w:val="0"/>
                                                      <w:marRight w:val="0"/>
                                                      <w:marTop w:val="0"/>
                                                      <w:marBottom w:val="0"/>
                                                      <w:divBdr>
                                                        <w:top w:val="none" w:sz="0" w:space="0" w:color="auto"/>
                                                        <w:left w:val="none" w:sz="0" w:space="0" w:color="auto"/>
                                                        <w:bottom w:val="none" w:sz="0" w:space="0" w:color="auto"/>
                                                        <w:right w:val="none" w:sz="0" w:space="0" w:color="auto"/>
                                                      </w:divBdr>
                                                      <w:divsChild>
                                                        <w:div w:id="1266305452">
                                                          <w:marLeft w:val="-225"/>
                                                          <w:marRight w:val="-225"/>
                                                          <w:marTop w:val="0"/>
                                                          <w:marBottom w:val="0"/>
                                                          <w:divBdr>
                                                            <w:top w:val="none" w:sz="0" w:space="0" w:color="auto"/>
                                                            <w:left w:val="none" w:sz="0" w:space="0" w:color="auto"/>
                                                            <w:bottom w:val="none" w:sz="0" w:space="0" w:color="auto"/>
                                                            <w:right w:val="none" w:sz="0" w:space="0" w:color="auto"/>
                                                          </w:divBdr>
                                                          <w:divsChild>
                                                            <w:div w:id="17210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4253961">
          <w:marLeft w:val="0"/>
          <w:marRight w:val="0"/>
          <w:marTop w:val="0"/>
          <w:marBottom w:val="0"/>
          <w:divBdr>
            <w:top w:val="none" w:sz="0" w:space="0" w:color="auto"/>
            <w:left w:val="none" w:sz="0" w:space="0" w:color="auto"/>
            <w:bottom w:val="none" w:sz="0" w:space="0" w:color="auto"/>
            <w:right w:val="none" w:sz="0" w:space="0" w:color="auto"/>
          </w:divBdr>
          <w:divsChild>
            <w:div w:id="9141145">
              <w:marLeft w:val="0"/>
              <w:marRight w:val="0"/>
              <w:marTop w:val="0"/>
              <w:marBottom w:val="0"/>
              <w:divBdr>
                <w:top w:val="none" w:sz="0" w:space="0" w:color="auto"/>
                <w:left w:val="none" w:sz="0" w:space="0" w:color="auto"/>
                <w:bottom w:val="none" w:sz="0" w:space="0" w:color="auto"/>
                <w:right w:val="none" w:sz="0" w:space="0" w:color="auto"/>
              </w:divBdr>
              <w:divsChild>
                <w:div w:id="1404717531">
                  <w:marLeft w:val="0"/>
                  <w:marRight w:val="0"/>
                  <w:marTop w:val="0"/>
                  <w:marBottom w:val="0"/>
                  <w:divBdr>
                    <w:top w:val="none" w:sz="0" w:space="0" w:color="auto"/>
                    <w:left w:val="none" w:sz="0" w:space="0" w:color="auto"/>
                    <w:bottom w:val="none" w:sz="0" w:space="0" w:color="auto"/>
                    <w:right w:val="none" w:sz="0" w:space="0" w:color="auto"/>
                  </w:divBdr>
                  <w:divsChild>
                    <w:div w:id="2018192990">
                      <w:marLeft w:val="0"/>
                      <w:marRight w:val="0"/>
                      <w:marTop w:val="0"/>
                      <w:marBottom w:val="0"/>
                      <w:divBdr>
                        <w:top w:val="none" w:sz="0" w:space="0" w:color="auto"/>
                        <w:left w:val="none" w:sz="0" w:space="0" w:color="auto"/>
                        <w:bottom w:val="none" w:sz="0" w:space="0" w:color="auto"/>
                        <w:right w:val="none" w:sz="0" w:space="0" w:color="auto"/>
                      </w:divBdr>
                      <w:divsChild>
                        <w:div w:id="2073767328">
                          <w:marLeft w:val="0"/>
                          <w:marRight w:val="0"/>
                          <w:marTop w:val="0"/>
                          <w:marBottom w:val="0"/>
                          <w:divBdr>
                            <w:top w:val="none" w:sz="0" w:space="0" w:color="auto"/>
                            <w:left w:val="none" w:sz="0" w:space="0" w:color="auto"/>
                            <w:bottom w:val="none" w:sz="0" w:space="0" w:color="auto"/>
                            <w:right w:val="none" w:sz="0" w:space="0" w:color="auto"/>
                          </w:divBdr>
                          <w:divsChild>
                            <w:div w:id="903373731">
                              <w:marLeft w:val="0"/>
                              <w:marRight w:val="0"/>
                              <w:marTop w:val="0"/>
                              <w:marBottom w:val="0"/>
                              <w:divBdr>
                                <w:top w:val="none" w:sz="0" w:space="0" w:color="auto"/>
                                <w:left w:val="none" w:sz="0" w:space="0" w:color="auto"/>
                                <w:bottom w:val="none" w:sz="0" w:space="0" w:color="auto"/>
                                <w:right w:val="none" w:sz="0" w:space="0" w:color="auto"/>
                              </w:divBdr>
                              <w:divsChild>
                                <w:div w:id="858936177">
                                  <w:marLeft w:val="-225"/>
                                  <w:marRight w:val="-225"/>
                                  <w:marTop w:val="0"/>
                                  <w:marBottom w:val="0"/>
                                  <w:divBdr>
                                    <w:top w:val="none" w:sz="0" w:space="0" w:color="auto"/>
                                    <w:left w:val="none" w:sz="0" w:space="0" w:color="auto"/>
                                    <w:bottom w:val="none" w:sz="0" w:space="0" w:color="auto"/>
                                    <w:right w:val="none" w:sz="0" w:space="0" w:color="auto"/>
                                  </w:divBdr>
                                  <w:divsChild>
                                    <w:div w:id="295062411">
                                      <w:marLeft w:val="0"/>
                                      <w:marRight w:val="0"/>
                                      <w:marTop w:val="0"/>
                                      <w:marBottom w:val="0"/>
                                      <w:divBdr>
                                        <w:top w:val="none" w:sz="0" w:space="0" w:color="auto"/>
                                        <w:left w:val="none" w:sz="0" w:space="0" w:color="auto"/>
                                        <w:bottom w:val="none" w:sz="0" w:space="0" w:color="auto"/>
                                        <w:right w:val="none" w:sz="0" w:space="0" w:color="auto"/>
                                      </w:divBdr>
                                      <w:divsChild>
                                        <w:div w:id="1474979497">
                                          <w:marLeft w:val="0"/>
                                          <w:marRight w:val="0"/>
                                          <w:marTop w:val="0"/>
                                          <w:marBottom w:val="0"/>
                                          <w:divBdr>
                                            <w:top w:val="none" w:sz="0" w:space="0" w:color="auto"/>
                                            <w:left w:val="none" w:sz="0" w:space="0" w:color="auto"/>
                                            <w:bottom w:val="none" w:sz="0" w:space="0" w:color="auto"/>
                                            <w:right w:val="none" w:sz="0" w:space="0" w:color="auto"/>
                                          </w:divBdr>
                                          <w:divsChild>
                                            <w:div w:id="1571840049">
                                              <w:marLeft w:val="0"/>
                                              <w:marRight w:val="0"/>
                                              <w:marTop w:val="0"/>
                                              <w:marBottom w:val="0"/>
                                              <w:divBdr>
                                                <w:top w:val="none" w:sz="0" w:space="0" w:color="auto"/>
                                                <w:left w:val="none" w:sz="0" w:space="0" w:color="auto"/>
                                                <w:bottom w:val="none" w:sz="0" w:space="0" w:color="auto"/>
                                                <w:right w:val="none" w:sz="0" w:space="0" w:color="auto"/>
                                              </w:divBdr>
                                              <w:divsChild>
                                                <w:div w:id="2016955690">
                                                  <w:marLeft w:val="0"/>
                                                  <w:marRight w:val="0"/>
                                                  <w:marTop w:val="0"/>
                                                  <w:marBottom w:val="0"/>
                                                  <w:divBdr>
                                                    <w:top w:val="none" w:sz="0" w:space="0" w:color="auto"/>
                                                    <w:left w:val="none" w:sz="0" w:space="0" w:color="auto"/>
                                                    <w:bottom w:val="none" w:sz="0" w:space="0" w:color="auto"/>
                                                    <w:right w:val="none" w:sz="0" w:space="0" w:color="auto"/>
                                                  </w:divBdr>
                                                  <w:divsChild>
                                                    <w:div w:id="945499336">
                                                      <w:marLeft w:val="0"/>
                                                      <w:marRight w:val="0"/>
                                                      <w:marTop w:val="0"/>
                                                      <w:marBottom w:val="0"/>
                                                      <w:divBdr>
                                                        <w:top w:val="none" w:sz="0" w:space="0" w:color="auto"/>
                                                        <w:left w:val="none" w:sz="0" w:space="0" w:color="auto"/>
                                                        <w:bottom w:val="none" w:sz="0" w:space="0" w:color="auto"/>
                                                        <w:right w:val="none" w:sz="0" w:space="0" w:color="auto"/>
                                                      </w:divBdr>
                                                      <w:divsChild>
                                                        <w:div w:id="1894581797">
                                                          <w:marLeft w:val="0"/>
                                                          <w:marRight w:val="0"/>
                                                          <w:marTop w:val="0"/>
                                                          <w:marBottom w:val="0"/>
                                                          <w:divBdr>
                                                            <w:top w:val="none" w:sz="0" w:space="0" w:color="auto"/>
                                                            <w:left w:val="none" w:sz="0" w:space="0" w:color="auto"/>
                                                            <w:bottom w:val="none" w:sz="0" w:space="0" w:color="auto"/>
                                                            <w:right w:val="none" w:sz="0" w:space="0" w:color="auto"/>
                                                          </w:divBdr>
                                                          <w:divsChild>
                                                            <w:div w:id="270823171">
                                                              <w:marLeft w:val="0"/>
                                                              <w:marRight w:val="0"/>
                                                              <w:marTop w:val="0"/>
                                                              <w:marBottom w:val="0"/>
                                                              <w:divBdr>
                                                                <w:top w:val="none" w:sz="0" w:space="0" w:color="auto"/>
                                                                <w:left w:val="none" w:sz="0" w:space="0" w:color="auto"/>
                                                                <w:bottom w:val="none" w:sz="0" w:space="0" w:color="auto"/>
                                                                <w:right w:val="none" w:sz="0" w:space="0" w:color="auto"/>
                                                              </w:divBdr>
                                                              <w:divsChild>
                                                                <w:div w:id="844636296">
                                                                  <w:marLeft w:val="0"/>
                                                                  <w:marRight w:val="0"/>
                                                                  <w:marTop w:val="0"/>
                                                                  <w:marBottom w:val="0"/>
                                                                  <w:divBdr>
                                                                    <w:top w:val="none" w:sz="0" w:space="0" w:color="auto"/>
                                                                    <w:left w:val="none" w:sz="0" w:space="0" w:color="auto"/>
                                                                    <w:bottom w:val="none" w:sz="0" w:space="0" w:color="auto"/>
                                                                    <w:right w:val="none" w:sz="0" w:space="0" w:color="auto"/>
                                                                  </w:divBdr>
                                                                  <w:divsChild>
                                                                    <w:div w:id="1118062582">
                                                                      <w:marLeft w:val="0"/>
                                                                      <w:marRight w:val="0"/>
                                                                      <w:marTop w:val="0"/>
                                                                      <w:marBottom w:val="0"/>
                                                                      <w:divBdr>
                                                                        <w:top w:val="none" w:sz="0" w:space="0" w:color="auto"/>
                                                                        <w:left w:val="none" w:sz="0" w:space="0" w:color="auto"/>
                                                                        <w:bottom w:val="none" w:sz="0" w:space="0" w:color="auto"/>
                                                                        <w:right w:val="none" w:sz="0" w:space="0" w:color="auto"/>
                                                                      </w:divBdr>
                                                                    </w:div>
                                                                    <w:div w:id="132758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4">
                                                      <w:marLeft w:val="0"/>
                                                      <w:marRight w:val="0"/>
                                                      <w:marTop w:val="0"/>
                                                      <w:marBottom w:val="0"/>
                                                      <w:divBdr>
                                                        <w:top w:val="none" w:sz="0" w:space="0" w:color="auto"/>
                                                        <w:left w:val="none" w:sz="0" w:space="0" w:color="auto"/>
                                                        <w:bottom w:val="none" w:sz="0" w:space="0" w:color="auto"/>
                                                        <w:right w:val="none" w:sz="0" w:space="0" w:color="auto"/>
                                                      </w:divBdr>
                                                      <w:divsChild>
                                                        <w:div w:id="190454772">
                                                          <w:marLeft w:val="0"/>
                                                          <w:marRight w:val="0"/>
                                                          <w:marTop w:val="0"/>
                                                          <w:marBottom w:val="0"/>
                                                          <w:divBdr>
                                                            <w:top w:val="none" w:sz="0" w:space="0" w:color="auto"/>
                                                            <w:left w:val="none" w:sz="0" w:space="0" w:color="auto"/>
                                                            <w:bottom w:val="none" w:sz="0" w:space="0" w:color="auto"/>
                                                            <w:right w:val="none" w:sz="0" w:space="0" w:color="auto"/>
                                                          </w:divBdr>
                                                          <w:divsChild>
                                                            <w:div w:id="445318755">
                                                              <w:marLeft w:val="0"/>
                                                              <w:marRight w:val="0"/>
                                                              <w:marTop w:val="0"/>
                                                              <w:marBottom w:val="0"/>
                                                              <w:divBdr>
                                                                <w:top w:val="none" w:sz="0" w:space="0" w:color="auto"/>
                                                                <w:left w:val="none" w:sz="0" w:space="0" w:color="auto"/>
                                                                <w:bottom w:val="none" w:sz="0" w:space="0" w:color="auto"/>
                                                                <w:right w:val="none" w:sz="0" w:space="0" w:color="auto"/>
                                                              </w:divBdr>
                                                              <w:divsChild>
                                                                <w:div w:id="204874884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8062167">
                                                      <w:marLeft w:val="0"/>
                                                      <w:marRight w:val="0"/>
                                                      <w:marTop w:val="0"/>
                                                      <w:marBottom w:val="0"/>
                                                      <w:divBdr>
                                                        <w:top w:val="none" w:sz="0" w:space="0" w:color="auto"/>
                                                        <w:left w:val="none" w:sz="0" w:space="0" w:color="auto"/>
                                                        <w:bottom w:val="none" w:sz="0" w:space="0" w:color="auto"/>
                                                        <w:right w:val="none" w:sz="0" w:space="0" w:color="auto"/>
                                                      </w:divBdr>
                                                      <w:divsChild>
                                                        <w:div w:id="452361262">
                                                          <w:marLeft w:val="0"/>
                                                          <w:marRight w:val="0"/>
                                                          <w:marTop w:val="0"/>
                                                          <w:marBottom w:val="0"/>
                                                          <w:divBdr>
                                                            <w:top w:val="none" w:sz="0" w:space="0" w:color="auto"/>
                                                            <w:left w:val="none" w:sz="0" w:space="0" w:color="auto"/>
                                                            <w:bottom w:val="none" w:sz="0" w:space="0" w:color="auto"/>
                                                            <w:right w:val="none" w:sz="0" w:space="0" w:color="auto"/>
                                                          </w:divBdr>
                                                        </w:div>
                                                      </w:divsChild>
                                                    </w:div>
                                                    <w:div w:id="1283612932">
                                                      <w:marLeft w:val="0"/>
                                                      <w:marRight w:val="0"/>
                                                      <w:marTop w:val="0"/>
                                                      <w:marBottom w:val="0"/>
                                                      <w:divBdr>
                                                        <w:top w:val="none" w:sz="0" w:space="0" w:color="auto"/>
                                                        <w:left w:val="none" w:sz="0" w:space="0" w:color="auto"/>
                                                        <w:bottom w:val="none" w:sz="0" w:space="0" w:color="auto"/>
                                                        <w:right w:val="none" w:sz="0" w:space="0" w:color="auto"/>
                                                      </w:divBdr>
                                                      <w:divsChild>
                                                        <w:div w:id="1331835532">
                                                          <w:marLeft w:val="0"/>
                                                          <w:marRight w:val="0"/>
                                                          <w:marTop w:val="0"/>
                                                          <w:marBottom w:val="0"/>
                                                          <w:divBdr>
                                                            <w:top w:val="none" w:sz="0" w:space="0" w:color="auto"/>
                                                            <w:left w:val="none" w:sz="0" w:space="0" w:color="auto"/>
                                                            <w:bottom w:val="none" w:sz="0" w:space="0" w:color="auto"/>
                                                            <w:right w:val="none" w:sz="0" w:space="0" w:color="auto"/>
                                                          </w:divBdr>
                                                          <w:divsChild>
                                                            <w:div w:id="378095190">
                                                              <w:marLeft w:val="0"/>
                                                              <w:marRight w:val="0"/>
                                                              <w:marTop w:val="0"/>
                                                              <w:marBottom w:val="0"/>
                                                              <w:divBdr>
                                                                <w:top w:val="none" w:sz="0" w:space="0" w:color="auto"/>
                                                                <w:left w:val="none" w:sz="0" w:space="0" w:color="auto"/>
                                                                <w:bottom w:val="none" w:sz="0" w:space="0" w:color="auto"/>
                                                                <w:right w:val="none" w:sz="0" w:space="0" w:color="auto"/>
                                                              </w:divBdr>
                                                              <w:divsChild>
                                                                <w:div w:id="2134707682">
                                                                  <w:marLeft w:val="0"/>
                                                                  <w:marRight w:val="225"/>
                                                                  <w:marTop w:val="0"/>
                                                                  <w:marBottom w:val="0"/>
                                                                  <w:divBdr>
                                                                    <w:top w:val="none" w:sz="0" w:space="0" w:color="auto"/>
                                                                    <w:left w:val="none" w:sz="0" w:space="0" w:color="auto"/>
                                                                    <w:bottom w:val="none" w:sz="0" w:space="0" w:color="auto"/>
                                                                    <w:right w:val="none" w:sz="0" w:space="0" w:color="auto"/>
                                                                  </w:divBdr>
                                                                  <w:divsChild>
                                                                    <w:div w:id="12691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258126">
                                                              <w:marLeft w:val="0"/>
                                                              <w:marRight w:val="0"/>
                                                              <w:marTop w:val="0"/>
                                                              <w:marBottom w:val="0"/>
                                                              <w:divBdr>
                                                                <w:top w:val="none" w:sz="0" w:space="0" w:color="auto"/>
                                                                <w:left w:val="none" w:sz="0" w:space="0" w:color="auto"/>
                                                                <w:bottom w:val="none" w:sz="0" w:space="0" w:color="auto"/>
                                                                <w:right w:val="none" w:sz="0" w:space="0" w:color="auto"/>
                                                              </w:divBdr>
                                                              <w:divsChild>
                                                                <w:div w:id="896206092">
                                                                  <w:marLeft w:val="0"/>
                                                                  <w:marRight w:val="225"/>
                                                                  <w:marTop w:val="0"/>
                                                                  <w:marBottom w:val="0"/>
                                                                  <w:divBdr>
                                                                    <w:top w:val="none" w:sz="0" w:space="0" w:color="auto"/>
                                                                    <w:left w:val="none" w:sz="0" w:space="0" w:color="auto"/>
                                                                    <w:bottom w:val="none" w:sz="0" w:space="0" w:color="auto"/>
                                                                    <w:right w:val="none" w:sz="0" w:space="0" w:color="auto"/>
                                                                  </w:divBdr>
                                                                  <w:divsChild>
                                                                    <w:div w:id="179228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011097">
                                                              <w:marLeft w:val="0"/>
                                                              <w:marRight w:val="0"/>
                                                              <w:marTop w:val="0"/>
                                                              <w:marBottom w:val="0"/>
                                                              <w:divBdr>
                                                                <w:top w:val="none" w:sz="0" w:space="0" w:color="auto"/>
                                                                <w:left w:val="none" w:sz="0" w:space="0" w:color="auto"/>
                                                                <w:bottom w:val="none" w:sz="0" w:space="0" w:color="auto"/>
                                                                <w:right w:val="none" w:sz="0" w:space="0" w:color="auto"/>
                                                              </w:divBdr>
                                                              <w:divsChild>
                                                                <w:div w:id="1290818901">
                                                                  <w:marLeft w:val="0"/>
                                                                  <w:marRight w:val="225"/>
                                                                  <w:marTop w:val="0"/>
                                                                  <w:marBottom w:val="0"/>
                                                                  <w:divBdr>
                                                                    <w:top w:val="none" w:sz="0" w:space="0" w:color="auto"/>
                                                                    <w:left w:val="none" w:sz="0" w:space="0" w:color="auto"/>
                                                                    <w:bottom w:val="none" w:sz="0" w:space="0" w:color="auto"/>
                                                                    <w:right w:val="none" w:sz="0" w:space="0" w:color="auto"/>
                                                                  </w:divBdr>
                                                                  <w:divsChild>
                                                                    <w:div w:id="97610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9487">
                                                              <w:marLeft w:val="0"/>
                                                              <w:marRight w:val="0"/>
                                                              <w:marTop w:val="0"/>
                                                              <w:marBottom w:val="0"/>
                                                              <w:divBdr>
                                                                <w:top w:val="none" w:sz="0" w:space="0" w:color="auto"/>
                                                                <w:left w:val="none" w:sz="0" w:space="0" w:color="auto"/>
                                                                <w:bottom w:val="none" w:sz="0" w:space="0" w:color="auto"/>
                                                                <w:right w:val="none" w:sz="0" w:space="0" w:color="auto"/>
                                                              </w:divBdr>
                                                              <w:divsChild>
                                                                <w:div w:id="257953775">
                                                                  <w:marLeft w:val="0"/>
                                                                  <w:marRight w:val="225"/>
                                                                  <w:marTop w:val="0"/>
                                                                  <w:marBottom w:val="0"/>
                                                                  <w:divBdr>
                                                                    <w:top w:val="none" w:sz="0" w:space="0" w:color="auto"/>
                                                                    <w:left w:val="none" w:sz="0" w:space="0" w:color="auto"/>
                                                                    <w:bottom w:val="none" w:sz="0" w:space="0" w:color="auto"/>
                                                                    <w:right w:val="none" w:sz="0" w:space="0" w:color="auto"/>
                                                                  </w:divBdr>
                                                                  <w:divsChild>
                                                                    <w:div w:id="137396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3539">
                                                              <w:marLeft w:val="0"/>
                                                              <w:marRight w:val="0"/>
                                                              <w:marTop w:val="0"/>
                                                              <w:marBottom w:val="0"/>
                                                              <w:divBdr>
                                                                <w:top w:val="none" w:sz="0" w:space="0" w:color="auto"/>
                                                                <w:left w:val="none" w:sz="0" w:space="0" w:color="auto"/>
                                                                <w:bottom w:val="none" w:sz="0" w:space="0" w:color="auto"/>
                                                                <w:right w:val="none" w:sz="0" w:space="0" w:color="auto"/>
                                                              </w:divBdr>
                                                              <w:divsChild>
                                                                <w:div w:id="2051420020">
                                                                  <w:marLeft w:val="0"/>
                                                                  <w:marRight w:val="225"/>
                                                                  <w:marTop w:val="0"/>
                                                                  <w:marBottom w:val="0"/>
                                                                  <w:divBdr>
                                                                    <w:top w:val="none" w:sz="0" w:space="0" w:color="auto"/>
                                                                    <w:left w:val="none" w:sz="0" w:space="0" w:color="auto"/>
                                                                    <w:bottom w:val="none" w:sz="0" w:space="0" w:color="auto"/>
                                                                    <w:right w:val="none" w:sz="0" w:space="0" w:color="auto"/>
                                                                  </w:divBdr>
                                                                  <w:divsChild>
                                                                    <w:div w:id="191689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0373">
                                                              <w:marLeft w:val="0"/>
                                                              <w:marRight w:val="0"/>
                                                              <w:marTop w:val="0"/>
                                                              <w:marBottom w:val="0"/>
                                                              <w:divBdr>
                                                                <w:top w:val="none" w:sz="0" w:space="0" w:color="auto"/>
                                                                <w:left w:val="none" w:sz="0" w:space="0" w:color="auto"/>
                                                                <w:bottom w:val="none" w:sz="0" w:space="0" w:color="auto"/>
                                                                <w:right w:val="none" w:sz="0" w:space="0" w:color="auto"/>
                                                              </w:divBdr>
                                                              <w:divsChild>
                                                                <w:div w:id="650914357">
                                                                  <w:marLeft w:val="0"/>
                                                                  <w:marRight w:val="225"/>
                                                                  <w:marTop w:val="0"/>
                                                                  <w:marBottom w:val="0"/>
                                                                  <w:divBdr>
                                                                    <w:top w:val="none" w:sz="0" w:space="0" w:color="auto"/>
                                                                    <w:left w:val="none" w:sz="0" w:space="0" w:color="auto"/>
                                                                    <w:bottom w:val="none" w:sz="0" w:space="0" w:color="auto"/>
                                                                    <w:right w:val="none" w:sz="0" w:space="0" w:color="auto"/>
                                                                  </w:divBdr>
                                                                  <w:divsChild>
                                                                    <w:div w:id="130928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928</Words>
  <Characters>5104</Characters>
  <Application>Microsoft Office Word</Application>
  <DocSecurity>0</DocSecurity>
  <Lines>42</Lines>
  <Paragraphs>12</Paragraphs>
  <ScaleCrop>false</ScaleCrop>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 MENDEZ</dc:creator>
  <cp:keywords/>
  <dc:description/>
  <cp:lastModifiedBy>RAUL RANGEL MENDEZ</cp:lastModifiedBy>
  <cp:revision>4</cp:revision>
  <dcterms:created xsi:type="dcterms:W3CDTF">2024-04-22T12:24:00Z</dcterms:created>
  <dcterms:modified xsi:type="dcterms:W3CDTF">2024-05-14T02:57:00Z</dcterms:modified>
</cp:coreProperties>
</file>