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814E9" w14:textId="77777777" w:rsidR="00CA31EA" w:rsidRPr="00CA31EA" w:rsidRDefault="00CA31EA" w:rsidP="00CA31EA">
      <w:pPr>
        <w:rPr>
          <w:rFonts w:ascii="Arial Nova Cond" w:hAnsi="Arial Nova Cond"/>
          <w:sz w:val="28"/>
          <w:szCs w:val="28"/>
        </w:rPr>
      </w:pPr>
      <w:r w:rsidRPr="00CA31EA">
        <w:rPr>
          <w:rFonts w:ascii="Arial Nova Cond" w:hAnsi="Arial Nova Cond"/>
          <w:sz w:val="28"/>
          <w:szCs w:val="28"/>
        </w:rPr>
        <w:t>ISSB investigará la divulgación de la naturaleza y el capital humano</w:t>
      </w:r>
    </w:p>
    <w:p w14:paraId="1C3E1BD8" w14:textId="78E7B402" w:rsidR="00CA31EA" w:rsidRPr="00CA31EA" w:rsidRDefault="00CA31EA" w:rsidP="00CA31EA">
      <w:r w:rsidRPr="00CA31EA">
        <w:rPr>
          <w:noProof/>
        </w:rPr>
        <w:drawing>
          <wp:inline distT="0" distB="0" distL="0" distR="0" wp14:anchorId="0653992D" wp14:editId="4F39D686">
            <wp:extent cx="5612130" cy="3743960"/>
            <wp:effectExtent l="0" t="0" r="762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3960"/>
                    </a:xfrm>
                    <a:prstGeom prst="rect">
                      <a:avLst/>
                    </a:prstGeom>
                    <a:noFill/>
                    <a:ln>
                      <a:noFill/>
                    </a:ln>
                  </pic:spPr>
                </pic:pic>
              </a:graphicData>
            </a:graphic>
          </wp:inline>
        </w:drawing>
      </w:r>
    </w:p>
    <w:p w14:paraId="6668B2AB" w14:textId="77777777" w:rsidR="00CA31EA" w:rsidRPr="00CA31EA" w:rsidRDefault="00CA31EA" w:rsidP="00CA31EA">
      <w:r w:rsidRPr="00CA31EA">
        <w:t>Publicado el 27 de abril de 2024 por</w:t>
      </w:r>
      <w:r>
        <w:t xml:space="preserve"> </w:t>
      </w:r>
      <w:hyperlink r:id="rId6" w:history="1">
        <w:r w:rsidRPr="00CA31EA">
          <w:rPr>
            <w:rStyle w:val="Hipervnculo"/>
            <w:b/>
            <w:bCs/>
          </w:rPr>
          <w:t>Editor</w:t>
        </w:r>
      </w:hyperlink>
    </w:p>
    <w:p w14:paraId="15BEEF55" w14:textId="77777777" w:rsidR="00CA31EA" w:rsidRPr="00CA31EA" w:rsidRDefault="00CA31EA" w:rsidP="00CA31EA">
      <w:pPr>
        <w:jc w:val="both"/>
      </w:pPr>
      <w:r w:rsidRPr="00CA31EA">
        <w:t>La Junta Internacional de Normas de Sostenibilidad (ISSB) planea iniciar proyectos de investigación centrados en la divulgación de riesgos y oportunidades relacionados con la biodiversidad, los ecosistemas, los servicios de los ecosistemas y el capital humano. Estos proyectos de investigación surgen de la consulta del ISSB sobre prioridades futuras.</w:t>
      </w:r>
    </w:p>
    <w:p w14:paraId="58F05CC1" w14:textId="77777777" w:rsidR="00CA31EA" w:rsidRPr="00CA31EA" w:rsidRDefault="00CA31EA" w:rsidP="00CA31EA">
      <w:pPr>
        <w:jc w:val="both"/>
      </w:pPr>
      <w:r w:rsidRPr="00CA31EA">
        <w:t>Si bien el ISSB mantiene su compromiso de apoyar la implementación de sus Normas inaugurales de presentación de informes de sostenibilidad, NIIF S1 y NIIF S2, también planea explorar estas nuevas áreas y el potencial para mejorar las Normas SASB. Debido a la respuesta del mercado, el ISSB no realizará proyectos relacionados con los derechos humanos en este momento.</w:t>
      </w:r>
    </w:p>
    <w:p w14:paraId="18233FE4" w14:textId="77777777" w:rsidR="00CA31EA" w:rsidRPr="00CA31EA" w:rsidRDefault="00CA31EA" w:rsidP="00CA31EA">
      <w:pPr>
        <w:jc w:val="both"/>
      </w:pPr>
      <w:r w:rsidRPr="00CA31EA">
        <w:t>El presidente del ISSB, Emmanuel Faber, destacó la creciente demanda de los inversores de mejores divulgaciones en áreas más allá del clima. El ISSB espera compartir en junio su plan de trabajo para los próximos dos años.</w:t>
      </w:r>
    </w:p>
    <w:p w14:paraId="1B56D743" w14:textId="53093365" w:rsidR="00CA31EA" w:rsidRPr="00CA31EA" w:rsidRDefault="00CA31EA" w:rsidP="00CA31EA">
      <w:pPr>
        <w:jc w:val="both"/>
      </w:pPr>
      <w:r w:rsidRPr="00CA31EA">
        <w:t>Para obtener más información y actualizaciones, lea la historia completa</w:t>
      </w:r>
      <w:r w:rsidR="003B09EF">
        <w:t xml:space="preserve"> </w:t>
      </w:r>
      <w:hyperlink r:id="rId7" w:tgtFrame="_blank" w:history="1">
        <w:r w:rsidRPr="00CA31EA">
          <w:rPr>
            <w:rStyle w:val="Hipervnculo"/>
          </w:rPr>
          <w:t>aquí</w:t>
        </w:r>
      </w:hyperlink>
      <w:r w:rsidRPr="00CA31EA">
        <w:t>.</w:t>
      </w:r>
    </w:p>
    <w:p w14:paraId="6D8CD91D" w14:textId="4CBA1B19" w:rsidR="00CA31EA" w:rsidRPr="00CA31EA" w:rsidRDefault="00E2503B" w:rsidP="00CA31EA">
      <w:pPr>
        <w:jc w:val="both"/>
      </w:pPr>
      <w:hyperlink r:id="rId8" w:history="1">
        <w:r w:rsidR="00CA31EA" w:rsidRPr="00CA31EA">
          <w:rPr>
            <w:rStyle w:val="Hipervnculo"/>
          </w:rPr>
          <w:t>ESG</w:t>
        </w:r>
        <w:r w:rsidR="003B09EF">
          <w:rPr>
            <w:rStyle w:val="Hipervnculo"/>
          </w:rPr>
          <w:t xml:space="preserve"> </w:t>
        </w:r>
      </w:hyperlink>
      <w:hyperlink r:id="rId9" w:history="1">
        <w:r w:rsidR="00CA31EA" w:rsidRPr="00CA31EA">
          <w:rPr>
            <w:rStyle w:val="Hipervnculo"/>
          </w:rPr>
          <w:t>CAPITAL HUMANO</w:t>
        </w:r>
        <w:r w:rsidR="003B09EF">
          <w:rPr>
            <w:rStyle w:val="Hipervnculo"/>
          </w:rPr>
          <w:t xml:space="preserve"> </w:t>
        </w:r>
      </w:hyperlink>
      <w:hyperlink r:id="rId10" w:history="1">
        <w:r w:rsidR="00CA31EA" w:rsidRPr="00CA31EA">
          <w:rPr>
            <w:rStyle w:val="Hipervnculo"/>
          </w:rPr>
          <w:t>ISSB</w:t>
        </w:r>
        <w:r w:rsidR="003B09EF">
          <w:rPr>
            <w:rStyle w:val="Hipervnculo"/>
          </w:rPr>
          <w:t xml:space="preserve"> </w:t>
        </w:r>
      </w:hyperlink>
      <w:hyperlink r:id="rId11" w:history="1">
        <w:r w:rsidR="00CA31EA" w:rsidRPr="00CA31EA">
          <w:rPr>
            <w:rStyle w:val="Hipervnculo"/>
          </w:rPr>
          <w:t>NATURALEZA</w:t>
        </w:r>
      </w:hyperlink>
    </w:p>
    <w:p w14:paraId="4F721B14" w14:textId="238F85DD" w:rsidR="00CA31EA" w:rsidRPr="00CA31EA" w:rsidRDefault="00CA31EA" w:rsidP="00CA31EA">
      <w:pPr>
        <w:jc w:val="both"/>
      </w:pPr>
    </w:p>
    <w:p w14:paraId="40B7B123" w14:textId="41612C99" w:rsidR="00641A2E" w:rsidRDefault="00641A2E"/>
    <w:p w14:paraId="785E8754" w14:textId="7DE29311" w:rsidR="00CA31EA" w:rsidRDefault="00CA31EA">
      <w:r w:rsidRPr="00CA31EA">
        <w:rPr>
          <w:noProof/>
        </w:rPr>
        <w:lastRenderedPageBreak/>
        <w:drawing>
          <wp:inline distT="0" distB="0" distL="0" distR="0" wp14:anchorId="7830EB22" wp14:editId="3F4D3765">
            <wp:extent cx="5612130" cy="220218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202180"/>
                    </a:xfrm>
                    <a:prstGeom prst="rect">
                      <a:avLst/>
                    </a:prstGeom>
                  </pic:spPr>
                </pic:pic>
              </a:graphicData>
            </a:graphic>
          </wp:inline>
        </w:drawing>
      </w:r>
    </w:p>
    <w:p w14:paraId="31E479A7" w14:textId="08946240" w:rsidR="00CA31EA" w:rsidRPr="00CA31EA" w:rsidRDefault="00CA31EA" w:rsidP="00CA31EA">
      <w:pPr>
        <w:jc w:val="both"/>
      </w:pPr>
      <w:r w:rsidRPr="00CA31EA">
        <w:t>Informado por su</w:t>
      </w:r>
      <w:r w:rsidR="003B09EF">
        <w:t xml:space="preserve"> </w:t>
      </w:r>
      <w:hyperlink r:id="rId13" w:history="1">
        <w:r w:rsidRPr="00CA31EA">
          <w:rPr>
            <w:rStyle w:val="Hipervnculo"/>
          </w:rPr>
          <w:t>reciente consulta sobre prioridades futuras</w:t>
        </w:r>
      </w:hyperlink>
      <w:r w:rsidRPr="00CA31EA">
        <w:t>, el Consejo Internacional de Normas de Sostenibilidad (ISSB) comenzará proyectos para investigar la divulgación sobre riesgos y oportunidades asociados con:</w:t>
      </w:r>
    </w:p>
    <w:p w14:paraId="251BD25D" w14:textId="77777777" w:rsidR="00CA31EA" w:rsidRPr="00CA31EA" w:rsidRDefault="00CA31EA" w:rsidP="00CA31EA">
      <w:pPr>
        <w:numPr>
          <w:ilvl w:val="0"/>
          <w:numId w:val="1"/>
        </w:numPr>
        <w:jc w:val="both"/>
      </w:pPr>
      <w:r w:rsidRPr="00CA31EA">
        <w:t>biodiversidad, ecosistemas y servicios ecosistémicos; y</w:t>
      </w:r>
    </w:p>
    <w:p w14:paraId="3761F355" w14:textId="77777777" w:rsidR="00CA31EA" w:rsidRPr="00CA31EA" w:rsidRDefault="00CA31EA" w:rsidP="00CA31EA">
      <w:pPr>
        <w:numPr>
          <w:ilvl w:val="0"/>
          <w:numId w:val="1"/>
        </w:numPr>
        <w:jc w:val="both"/>
      </w:pPr>
      <w:r w:rsidRPr="00CA31EA">
        <w:t>capital humano.</w:t>
      </w:r>
    </w:p>
    <w:p w14:paraId="43C0CA89" w14:textId="77777777" w:rsidR="00CA31EA" w:rsidRPr="00CA31EA" w:rsidRDefault="00CA31EA" w:rsidP="00CA31EA">
      <w:pPr>
        <w:jc w:val="both"/>
      </w:pPr>
      <w:r w:rsidRPr="00CA31EA">
        <w:t>Los proyectos de investigación se centrarán en las necesidades comunes de información de los inversores para evaluar si es razonable esperar que estos riesgos y oportunidades afecten las perspectivas de una empresa y cómo.</w:t>
      </w:r>
    </w:p>
    <w:p w14:paraId="5626CE9F" w14:textId="77777777" w:rsidR="00CA31EA" w:rsidRPr="00CA31EA" w:rsidRDefault="00CA31EA" w:rsidP="00CA31EA">
      <w:pPr>
        <w:jc w:val="both"/>
      </w:pPr>
      <w:r w:rsidRPr="00CA31EA">
        <w:t>Al igual que con el enfoque de las Normas inaugurales del ISSB, el ISSB analizará cómo podría aprovechar iniciativas preexistentes relevantes. Esto incluye aquellos que ya están bajo su competencia (las Normas SASB y la guía CDSB) y, además, aspectos relevantes del trabajo del Grupo de Trabajo sobre Divulgaciones Financieras Relacionadas con la Naturaleza (TNFD).</w:t>
      </w:r>
    </w:p>
    <w:p w14:paraId="29D19656" w14:textId="77777777" w:rsidR="00CA31EA" w:rsidRPr="00CA31EA" w:rsidRDefault="00CA31EA" w:rsidP="00CA31EA">
      <w:pPr>
        <w:jc w:val="both"/>
      </w:pPr>
      <w:r w:rsidRPr="00CA31EA">
        <w:t>La NIIF S1 ya exige la divulgación de información material sobre todos los riesgos y oportunidades relacionados con la sostenibilidad, y se pide a las empresas que consulten fuentes de orientación, incluidas las Normas SASB, para proporcionar divulgaciones adecuadas más allá del clima. Estos proyectos permitirán al ISSB embarcarse en su propio trabajo de establecimiento de estándares en áreas clave necesarias para establecer divulgaciones más específicas para construir la base global de divulgaciones financieras relacionadas con la sostenibilidad.</w:t>
      </w:r>
    </w:p>
    <w:p w14:paraId="68811C49" w14:textId="77777777" w:rsidR="00CA31EA" w:rsidRPr="00CA31EA" w:rsidRDefault="00CA31EA" w:rsidP="00CA31EA">
      <w:pPr>
        <w:jc w:val="both"/>
      </w:pPr>
      <w:r w:rsidRPr="00CA31EA">
        <w:t>A través de los proyectos de investigación, el ISSB evaluará y definirá las limitaciones de la divulgación actual en estas áreas, identificando posibles soluciones y decidirá si es necesario establecer estándares.</w:t>
      </w:r>
    </w:p>
    <w:p w14:paraId="3C26FB74" w14:textId="77777777" w:rsidR="00CA31EA" w:rsidRPr="00CA31EA" w:rsidRDefault="00CA31EA" w:rsidP="00CA31EA">
      <w:pPr>
        <w:jc w:val="both"/>
      </w:pPr>
      <w:r w:rsidRPr="00CA31EA">
        <w:t>La prioridad del ISSB para los próximos dos años será apoyar la implementación de las Normas inaugurales del ISSB: NIIF S1 y NIIF S2. Los dos nuevos proyectos de investigación y el trabajo para mejorar los estándares SASB serán otras áreas clave de enfoque del ISSB. Se reservará capacidad para abordar las necesidades emergentes y colaborar con el Consejo de Normas Internacionales de Contabilidad (IASB).</w:t>
      </w:r>
    </w:p>
    <w:p w14:paraId="3E89704D" w14:textId="77777777" w:rsidR="00CA31EA" w:rsidRPr="00CA31EA" w:rsidRDefault="00CA31EA" w:rsidP="00CA31EA">
      <w:pPr>
        <w:jc w:val="both"/>
      </w:pPr>
      <w:r w:rsidRPr="00CA31EA">
        <w:lastRenderedPageBreak/>
        <w:t>Informado por la retroalimentación del mercado, el ISSB decidió no embarcarse en proyectos relacionados con riesgos y oportunidades asociados con los derechos humanos (más allá de los riesgos y oportunidades relacionados con la propia fuerza laboral de una empresa y los trabajadores en su cadena de valor) o la integración en la presentación de informes en este momento. Sin embargo, el ISSB acordó seguir de cerca los desarrollos en estas importantes áreas y puede considerar incluirlas en una futura agenda de consultas.</w:t>
      </w:r>
    </w:p>
    <w:p w14:paraId="39A607AD" w14:textId="77777777" w:rsidR="00CA31EA" w:rsidRPr="00CA31EA" w:rsidRDefault="00CA31EA" w:rsidP="00CA31EA">
      <w:pPr>
        <w:jc w:val="both"/>
      </w:pPr>
      <w:r w:rsidRPr="00CA31EA">
        <w:t>Tanto el ISSB como el IASB seguirán apoyando el uso del Marco de Información Integrado como recurso que impulsa la presentación de informes corporativos de alta calidad y un paquete de información coherente para los inversores.</w:t>
      </w:r>
    </w:p>
    <w:p w14:paraId="31813930" w14:textId="77777777" w:rsidR="00CA31EA" w:rsidRPr="00CA31EA" w:rsidRDefault="00CA31EA" w:rsidP="00CA31EA">
      <w:pPr>
        <w:jc w:val="both"/>
      </w:pPr>
      <w:r w:rsidRPr="00CA31EA">
        <w:t>En junio, el ISSB espera publicar un resumen de los comentarios sobre la consulta de su agenda, junto con su respuesta a los comentarios y su plan de trabajo para los próximos dos años.</w:t>
      </w:r>
    </w:p>
    <w:p w14:paraId="457BA8E6" w14:textId="77777777" w:rsidR="00CA31EA" w:rsidRPr="00CA31EA" w:rsidRDefault="00CA31EA" w:rsidP="0045445D">
      <w:pPr>
        <w:spacing w:after="0"/>
        <w:jc w:val="both"/>
      </w:pPr>
      <w:r w:rsidRPr="00CA31EA">
        <w:t>El presidente del ISSB, Emmanuel Faber, dijo:</w:t>
      </w:r>
    </w:p>
    <w:p w14:paraId="1A1B044A" w14:textId="77777777" w:rsidR="00CA31EA" w:rsidRDefault="00CA31EA" w:rsidP="00CA31EA">
      <w:pPr>
        <w:jc w:val="both"/>
        <w:rPr>
          <w:i/>
          <w:iCs/>
        </w:rPr>
      </w:pPr>
      <w:r w:rsidRPr="00CA31EA">
        <w:rPr>
          <w:i/>
          <w:iCs/>
        </w:rPr>
        <w:t>Más allá del clima, estamos comprometidos a construir una base global de divulgación financiera relacionada con la sostenibilidad para satisfacer las necesidades de los inversores. Los comentarios indicaron una necesidad importante y creciente entre los inversores de mejorar la divulgación sobre la biodiversidad, los ecosistemas y los servicios de los ecosistemas, así como el capital humano, como fuente clave de valor para las empresas.</w:t>
      </w:r>
    </w:p>
    <w:p w14:paraId="340B5DD1" w14:textId="6A3DE610" w:rsidR="00CA31EA" w:rsidRPr="00CA31EA" w:rsidRDefault="00CA31EA" w:rsidP="00CA31EA">
      <w:pPr>
        <w:jc w:val="both"/>
        <w:rPr>
          <w:i/>
          <w:iCs/>
        </w:rPr>
      </w:pPr>
      <w:r w:rsidRPr="00CA31EA">
        <w:rPr>
          <w:i/>
          <w:iCs/>
        </w:rPr>
        <w:t>Nuestras Normas SASB específicas de la industria continúan utilizándose como una forma rentable de proporcionar información útil para la toma de decisiones a los inversores. Estamos comprometidos a mejorar aún más los estándares SASB, dado que también respaldarán nuestras nuevas áreas de investigación. Esperamos compartir nuestro plan de trabajo para los próximos dos años en junio.</w:t>
      </w:r>
    </w:p>
    <w:p w14:paraId="331AE1BC" w14:textId="77777777" w:rsidR="00CA31EA" w:rsidRPr="00CA31EA" w:rsidRDefault="00CA31EA" w:rsidP="00CA31EA">
      <w:pPr>
        <w:jc w:val="both"/>
        <w:rPr>
          <w:b/>
          <w:bCs/>
        </w:rPr>
      </w:pPr>
      <w:r w:rsidRPr="00CA31EA">
        <w:rPr>
          <w:b/>
          <w:bCs/>
        </w:rPr>
        <w:t>Información relacionada</w:t>
      </w:r>
    </w:p>
    <w:p w14:paraId="2952B5BA" w14:textId="77777777" w:rsidR="00CA31EA" w:rsidRPr="00CA31EA" w:rsidRDefault="00E2503B" w:rsidP="00CA31EA">
      <w:pPr>
        <w:numPr>
          <w:ilvl w:val="0"/>
          <w:numId w:val="2"/>
        </w:numPr>
        <w:jc w:val="both"/>
      </w:pPr>
      <w:hyperlink r:id="rId14" w:tgtFrame="_self" w:history="1">
        <w:r w:rsidR="00CA31EA" w:rsidRPr="00CA31EA">
          <w:rPr>
            <w:rStyle w:val="Hipervnculo"/>
          </w:rPr>
          <w:t>Junta de Normas Internacionales de Sostenibilidad</w:t>
        </w:r>
      </w:hyperlink>
    </w:p>
    <w:p w14:paraId="65125E89" w14:textId="77777777" w:rsidR="00CA31EA" w:rsidRPr="00CA31EA" w:rsidRDefault="00E2503B" w:rsidP="00CA31EA">
      <w:pPr>
        <w:numPr>
          <w:ilvl w:val="0"/>
          <w:numId w:val="2"/>
        </w:numPr>
        <w:jc w:val="both"/>
      </w:pPr>
      <w:hyperlink r:id="rId15" w:tgtFrame="_self" w:history="1">
        <w:r w:rsidR="00CA31EA" w:rsidRPr="00CA31EA">
          <w:rPr>
            <w:rStyle w:val="Hipervnculo"/>
          </w:rPr>
          <w:t>Reunión del ISSB de abril de 2024</w:t>
        </w:r>
      </w:hyperlink>
    </w:p>
    <w:p w14:paraId="0CC18FEE" w14:textId="77777777" w:rsidR="00CA31EA" w:rsidRPr="00CA31EA" w:rsidRDefault="00E2503B" w:rsidP="00CA31EA">
      <w:pPr>
        <w:numPr>
          <w:ilvl w:val="0"/>
          <w:numId w:val="2"/>
        </w:numPr>
        <w:jc w:val="both"/>
      </w:pPr>
      <w:hyperlink r:id="rId16" w:tgtFrame="_self" w:history="1">
        <w:r w:rsidR="00CA31EA" w:rsidRPr="00CA31EA">
          <w:rPr>
            <w:rStyle w:val="Hipervnculo"/>
          </w:rPr>
          <w:t>NIIF S1 Requisitos generales para la divulgación de información financiera relacionada con la sostenibilidad</w:t>
        </w:r>
      </w:hyperlink>
    </w:p>
    <w:p w14:paraId="78BB4EFC" w14:textId="77777777" w:rsidR="00CA31EA" w:rsidRPr="00CA31EA" w:rsidRDefault="00E2503B" w:rsidP="00CA31EA">
      <w:pPr>
        <w:numPr>
          <w:ilvl w:val="0"/>
          <w:numId w:val="2"/>
        </w:numPr>
        <w:jc w:val="both"/>
      </w:pPr>
      <w:hyperlink r:id="rId17" w:tgtFrame="_self" w:history="1">
        <w:r w:rsidR="00CA31EA" w:rsidRPr="00CA31EA">
          <w:rPr>
            <w:rStyle w:val="Hipervnculo"/>
          </w:rPr>
          <w:t>NIIF S2 Divulgaciones relacionadas con el clima</w:t>
        </w:r>
      </w:hyperlink>
    </w:p>
    <w:p w14:paraId="430593E7" w14:textId="540F3352" w:rsidR="00CA31EA" w:rsidRDefault="00CA31EA" w:rsidP="00CA31EA">
      <w:pPr>
        <w:jc w:val="both"/>
      </w:pPr>
    </w:p>
    <w:p w14:paraId="6630A7EE" w14:textId="73A738D0" w:rsidR="00CA31EA" w:rsidRDefault="00CA31EA" w:rsidP="00CA31EA">
      <w:pPr>
        <w:jc w:val="both"/>
      </w:pPr>
    </w:p>
    <w:p w14:paraId="713B7E38" w14:textId="12661186" w:rsidR="00CA31EA" w:rsidRDefault="00CA31EA" w:rsidP="00CA31EA">
      <w:pPr>
        <w:jc w:val="both"/>
      </w:pPr>
    </w:p>
    <w:p w14:paraId="70BAF9CC" w14:textId="500E092F" w:rsidR="00CA31EA" w:rsidRDefault="00CA31EA" w:rsidP="00CA31EA">
      <w:pPr>
        <w:jc w:val="both"/>
      </w:pPr>
    </w:p>
    <w:p w14:paraId="45833680" w14:textId="55CEB1F4" w:rsidR="00CA31EA" w:rsidRDefault="00CA31EA" w:rsidP="00CA31EA">
      <w:pPr>
        <w:jc w:val="both"/>
      </w:pPr>
    </w:p>
    <w:p w14:paraId="758DB53B" w14:textId="586E7F3C" w:rsidR="00CA31EA" w:rsidRDefault="00CA31EA" w:rsidP="00CA31EA">
      <w:pPr>
        <w:jc w:val="both"/>
      </w:pPr>
    </w:p>
    <w:p w14:paraId="221402BB" w14:textId="74B982EB" w:rsidR="00CA31EA" w:rsidRDefault="00CA31EA" w:rsidP="00CA31EA">
      <w:pPr>
        <w:jc w:val="both"/>
      </w:pPr>
    </w:p>
    <w:tbl>
      <w:tblPr>
        <w:tblStyle w:val="Tablaconcuadrcula"/>
        <w:tblW w:w="0" w:type="auto"/>
        <w:tblLook w:val="04A0" w:firstRow="1" w:lastRow="0" w:firstColumn="1" w:lastColumn="0" w:noHBand="0" w:noVBand="1"/>
      </w:tblPr>
      <w:tblGrid>
        <w:gridCol w:w="8828"/>
      </w:tblGrid>
      <w:tr w:rsidR="00CA31EA" w14:paraId="54C081C3" w14:textId="77777777" w:rsidTr="00CA31EA">
        <w:tc>
          <w:tcPr>
            <w:tcW w:w="8828" w:type="dxa"/>
          </w:tcPr>
          <w:p w14:paraId="14FEE655" w14:textId="77777777" w:rsidR="00CA31EA" w:rsidRDefault="00CA31EA" w:rsidP="00CA31EA">
            <w:pPr>
              <w:jc w:val="both"/>
              <w:rPr>
                <w:rFonts w:ascii="Helvetica" w:hAnsi="Helvetica" w:cs="Helvetica"/>
                <w:color w:val="575757"/>
                <w:sz w:val="20"/>
                <w:szCs w:val="20"/>
                <w:shd w:val="clear" w:color="auto" w:fill="F6F6F6"/>
              </w:rPr>
            </w:pPr>
          </w:p>
          <w:p w14:paraId="3733974A" w14:textId="0F3824EB" w:rsidR="00CA31EA" w:rsidRDefault="00CA31EA" w:rsidP="00CA31EA">
            <w:pPr>
              <w:jc w:val="both"/>
              <w:rPr>
                <w:rFonts w:ascii="Helvetica" w:hAnsi="Helvetica" w:cs="Helvetica"/>
                <w:color w:val="575757"/>
                <w:sz w:val="20"/>
                <w:szCs w:val="20"/>
                <w:shd w:val="clear" w:color="auto" w:fill="F6F6F6"/>
              </w:rPr>
            </w:pPr>
            <w:r>
              <w:rPr>
                <w:rFonts w:ascii="Helvetica" w:hAnsi="Helvetica" w:cs="Helvetica"/>
                <w:color w:val="575757"/>
                <w:sz w:val="20"/>
                <w:szCs w:val="20"/>
                <w:shd w:val="clear" w:color="auto" w:fill="F6F6F6"/>
              </w:rPr>
              <w:t>El logotipo de la Fundación IFRS y el logotipo </w:t>
            </w:r>
            <w:r>
              <w:rPr>
                <w:rFonts w:ascii="Helvetica" w:hAnsi="Helvetica" w:cs="Helvetica"/>
                <w:color w:val="575757"/>
                <w:sz w:val="15"/>
                <w:szCs w:val="15"/>
                <w:shd w:val="clear" w:color="auto" w:fill="F6F6F6"/>
                <w:vertAlign w:val="superscript"/>
              </w:rPr>
              <w:t>de </w:t>
            </w:r>
            <w:r>
              <w:rPr>
                <w:rFonts w:ascii="Helvetica" w:hAnsi="Helvetica" w:cs="Helvetica"/>
                <w:i/>
                <w:iCs/>
                <w:color w:val="575757"/>
                <w:sz w:val="20"/>
                <w:szCs w:val="20"/>
                <w:shd w:val="clear" w:color="auto" w:fill="F6F6F6"/>
              </w:rPr>
              <w:t>NIIF para las PYMES®</w:t>
            </w:r>
            <w:r>
              <w:rPr>
                <w:rFonts w:ascii="Helvetica" w:hAnsi="Helvetica" w:cs="Helvetica"/>
                <w:color w:val="575757"/>
                <w:sz w:val="20"/>
                <w:szCs w:val="20"/>
                <w:shd w:val="clear" w:color="auto" w:fill="F6F6F6"/>
              </w:rPr>
              <w:t>, el logotipo </w:t>
            </w:r>
            <w:r>
              <w:rPr>
                <w:rFonts w:ascii="Helvetica" w:hAnsi="Helvetica" w:cs="Helvetica"/>
                <w:color w:val="575757"/>
                <w:sz w:val="15"/>
                <w:szCs w:val="15"/>
                <w:shd w:val="clear" w:color="auto" w:fill="F6F6F6"/>
                <w:vertAlign w:val="superscript"/>
              </w:rPr>
              <w:t>de</w:t>
            </w:r>
            <w:r>
              <w:rPr>
                <w:rFonts w:ascii="Helvetica" w:hAnsi="Helvetica" w:cs="Helvetica"/>
                <w:color w:val="575757"/>
                <w:sz w:val="20"/>
                <w:szCs w:val="20"/>
                <w:shd w:val="clear" w:color="auto" w:fill="F6F6F6"/>
              </w:rPr>
              <w:t> IASB®, el 'Dispositivo hexagonal', IAS®</w:t>
            </w:r>
            <w:r>
              <w:rPr>
                <w:rFonts w:ascii="Helvetica" w:hAnsi="Helvetica" w:cs="Helvetica"/>
                <w:color w:val="575757"/>
                <w:sz w:val="15"/>
                <w:szCs w:val="15"/>
                <w:shd w:val="clear" w:color="auto" w:fill="F6F6F6"/>
                <w:vertAlign w:val="superscript"/>
              </w:rPr>
              <w:t>, IASB®</w:t>
            </w:r>
            <w:r>
              <w:rPr>
                <w:rFonts w:ascii="Helvetica" w:hAnsi="Helvetica" w:cs="Helvetica"/>
                <w:color w:val="575757"/>
                <w:sz w:val="20"/>
                <w:szCs w:val="20"/>
                <w:shd w:val="clear" w:color="auto" w:fill="F6F6F6"/>
              </w:rPr>
              <w:t>, ISSB ™, IFRIC®</w:t>
            </w:r>
            <w:r>
              <w:rPr>
                <w:rFonts w:ascii="Helvetica" w:hAnsi="Helvetica" w:cs="Helvetica"/>
                <w:color w:val="575757"/>
                <w:sz w:val="15"/>
                <w:szCs w:val="15"/>
                <w:shd w:val="clear" w:color="auto" w:fill="F6F6F6"/>
                <w:vertAlign w:val="superscript"/>
              </w:rPr>
              <w:t>, </w:t>
            </w:r>
            <w:r>
              <w:rPr>
                <w:rFonts w:ascii="Helvetica" w:hAnsi="Helvetica" w:cs="Helvetica"/>
                <w:color w:val="575757"/>
                <w:sz w:val="20"/>
                <w:szCs w:val="20"/>
                <w:shd w:val="clear" w:color="auto" w:fill="F6F6F6"/>
              </w:rPr>
              <w:t>NIIF®</w:t>
            </w:r>
            <w:r>
              <w:rPr>
                <w:rFonts w:ascii="Helvetica" w:hAnsi="Helvetica" w:cs="Helvetica"/>
                <w:color w:val="575757"/>
                <w:sz w:val="15"/>
                <w:szCs w:val="15"/>
                <w:shd w:val="clear" w:color="auto" w:fill="F6F6F6"/>
                <w:vertAlign w:val="superscript"/>
              </w:rPr>
              <w:t>, </w:t>
            </w:r>
            <w:r>
              <w:rPr>
                <w:rFonts w:ascii="Helvetica" w:hAnsi="Helvetica" w:cs="Helvetica"/>
                <w:color w:val="575757"/>
                <w:sz w:val="20"/>
                <w:szCs w:val="20"/>
                <w:shd w:val="clear" w:color="auto" w:fill="F6F6F6"/>
              </w:rPr>
              <w:t>NIIF </w:t>
            </w:r>
            <w:r>
              <w:rPr>
                <w:rFonts w:ascii="Helvetica" w:hAnsi="Helvetica" w:cs="Helvetica"/>
                <w:i/>
                <w:iCs/>
                <w:color w:val="575757"/>
                <w:sz w:val="20"/>
                <w:szCs w:val="20"/>
                <w:shd w:val="clear" w:color="auto" w:fill="F6F6F6"/>
              </w:rPr>
              <w:t>para las PYMES®</w:t>
            </w:r>
            <w:r>
              <w:rPr>
                <w:rFonts w:ascii="Helvetica" w:hAnsi="Helvetica" w:cs="Helvetica"/>
                <w:color w:val="575757"/>
                <w:sz w:val="15"/>
                <w:szCs w:val="15"/>
                <w:shd w:val="clear" w:color="auto" w:fill="F6F6F6"/>
                <w:vertAlign w:val="superscript"/>
              </w:rPr>
              <w:t>, </w:t>
            </w:r>
            <w:r>
              <w:rPr>
                <w:rFonts w:ascii="Helvetica" w:hAnsi="Helvetica" w:cs="Helvetica"/>
                <w:color w:val="575757"/>
                <w:sz w:val="20"/>
                <w:szCs w:val="20"/>
                <w:shd w:val="clear" w:color="auto" w:fill="F6F6F6"/>
              </w:rPr>
              <w:t>Fundación IFRS®</w:t>
            </w:r>
            <w:r>
              <w:rPr>
                <w:rFonts w:ascii="Helvetica" w:hAnsi="Helvetica" w:cs="Helvetica"/>
                <w:color w:val="575757"/>
                <w:sz w:val="15"/>
                <w:szCs w:val="15"/>
                <w:shd w:val="clear" w:color="auto" w:fill="F6F6F6"/>
                <w:vertAlign w:val="superscript"/>
              </w:rPr>
              <w:t>, </w:t>
            </w:r>
            <w:r>
              <w:rPr>
                <w:rFonts w:ascii="Helvetica" w:hAnsi="Helvetica" w:cs="Helvetica"/>
                <w:color w:val="575757"/>
                <w:sz w:val="20"/>
                <w:szCs w:val="20"/>
                <w:shd w:val="clear" w:color="auto" w:fill="F6F6F6"/>
              </w:rPr>
              <w:t>Normas Internacionales de Contabilidad </w:t>
            </w:r>
            <w:r>
              <w:rPr>
                <w:rFonts w:ascii="Helvetica" w:hAnsi="Helvetica" w:cs="Helvetica"/>
                <w:color w:val="575757"/>
                <w:sz w:val="15"/>
                <w:szCs w:val="15"/>
                <w:shd w:val="clear" w:color="auto" w:fill="F6F6F6"/>
                <w:vertAlign w:val="superscript"/>
              </w:rPr>
              <w:t>® </w:t>
            </w:r>
            <w:r>
              <w:rPr>
                <w:rFonts w:ascii="Helvetica" w:hAnsi="Helvetica" w:cs="Helvetica"/>
                <w:color w:val="575757"/>
                <w:sz w:val="20"/>
                <w:szCs w:val="20"/>
                <w:shd w:val="clear" w:color="auto" w:fill="F6F6F6"/>
              </w:rPr>
              <w:t>Normas Internacionales de Información Financiera </w:t>
            </w:r>
            <w:r>
              <w:rPr>
                <w:rFonts w:ascii="Helvetica" w:hAnsi="Helvetica" w:cs="Helvetica"/>
                <w:color w:val="575757"/>
                <w:sz w:val="15"/>
                <w:szCs w:val="15"/>
                <w:shd w:val="clear" w:color="auto" w:fill="F6F6F6"/>
                <w:vertAlign w:val="superscript"/>
              </w:rPr>
              <w:t>®</w:t>
            </w:r>
            <w:r>
              <w:rPr>
                <w:rFonts w:ascii="Helvetica" w:hAnsi="Helvetica" w:cs="Helvetica"/>
                <w:color w:val="575757"/>
                <w:sz w:val="20"/>
                <w:szCs w:val="20"/>
                <w:shd w:val="clear" w:color="auto" w:fill="F6F6F6"/>
              </w:rPr>
              <w:t>, NIIF </w:t>
            </w:r>
            <w:r>
              <w:rPr>
                <w:rFonts w:ascii="Helvetica" w:hAnsi="Helvetica" w:cs="Helvetica"/>
                <w:color w:val="575757"/>
                <w:sz w:val="15"/>
                <w:szCs w:val="15"/>
                <w:shd w:val="clear" w:color="auto" w:fill="F6F6F6"/>
                <w:vertAlign w:val="superscript"/>
              </w:rPr>
              <w:t>® </w:t>
            </w:r>
            <w:r>
              <w:rPr>
                <w:rFonts w:ascii="Helvetica" w:hAnsi="Helvetica" w:cs="Helvetica"/>
                <w:color w:val="575757"/>
                <w:sz w:val="20"/>
                <w:szCs w:val="20"/>
                <w:shd w:val="clear" w:color="auto" w:fill="F6F6F6"/>
              </w:rPr>
              <w:t>y SIC</w:t>
            </w:r>
            <w:r>
              <w:rPr>
                <w:rFonts w:ascii="Helvetica" w:hAnsi="Helvetica" w:cs="Helvetica"/>
                <w:color w:val="575757"/>
                <w:sz w:val="15"/>
                <w:szCs w:val="15"/>
                <w:shd w:val="clear" w:color="auto" w:fill="F6F6F6"/>
                <w:vertAlign w:val="superscript"/>
              </w:rPr>
              <w:t>® </w:t>
            </w:r>
            <w:r>
              <w:rPr>
                <w:rFonts w:ascii="Helvetica" w:hAnsi="Helvetica" w:cs="Helvetica"/>
                <w:color w:val="575757"/>
                <w:sz w:val="20"/>
                <w:szCs w:val="20"/>
                <w:shd w:val="clear" w:color="auto" w:fill="F6F6F6"/>
              </w:rPr>
              <w:t>son marcas comerciales registradas de la Fundación IFRS, cuyos detalles adicionales están disponibles a pedido de la Fundación IFRS.</w:t>
            </w:r>
          </w:p>
          <w:p w14:paraId="775E9D82" w14:textId="77777777" w:rsidR="00CA31EA" w:rsidRPr="00CA31EA" w:rsidRDefault="00CA31EA" w:rsidP="00CA31EA">
            <w:pPr>
              <w:jc w:val="both"/>
              <w:rPr>
                <w:rFonts w:ascii="Helvetica" w:hAnsi="Helvetica" w:cs="Helvetica"/>
                <w:color w:val="575757"/>
                <w:sz w:val="20"/>
                <w:szCs w:val="20"/>
                <w:shd w:val="clear" w:color="auto" w:fill="F6F6F6"/>
              </w:rPr>
            </w:pPr>
            <w:r w:rsidRPr="00CA31EA">
              <w:rPr>
                <w:rFonts w:ascii="Helvetica" w:hAnsi="Helvetica" w:cs="Helvetica"/>
                <w:color w:val="575757"/>
                <w:sz w:val="20"/>
                <w:szCs w:val="20"/>
                <w:shd w:val="clear" w:color="auto" w:fill="F6F6F6"/>
              </w:rPr>
              <w:t>La Fundación de Normas Internacionales de Información Financiera es una corporación sin fines de lucro constituida en el estado de Delaware, Estados Unidos de América, con la División de Compañías de Delaware (número de expediente: 3353113) y está registrada como una compañía extranjera en Inglaterra y Gales. (n.º de registro: FC023235). Sede central: Columbus Building, 7 Westferry Circus, Canary Wharf, Londres E14 4HD, Reino Unido.</w:t>
            </w:r>
          </w:p>
          <w:p w14:paraId="3C2DB5FA" w14:textId="77777777" w:rsidR="00CA31EA" w:rsidRDefault="00CA31EA" w:rsidP="00CA31EA">
            <w:pPr>
              <w:jc w:val="both"/>
              <w:rPr>
                <w:rFonts w:ascii="Helvetica" w:hAnsi="Helvetica" w:cs="Helvetica"/>
                <w:color w:val="575757"/>
                <w:sz w:val="20"/>
                <w:szCs w:val="20"/>
                <w:shd w:val="clear" w:color="auto" w:fill="F6F6F6"/>
              </w:rPr>
            </w:pPr>
          </w:p>
          <w:p w14:paraId="03CD7DD7" w14:textId="135B99F3" w:rsidR="00CA31EA" w:rsidRPr="00CA31EA" w:rsidRDefault="00CA31EA" w:rsidP="00CA31EA">
            <w:pPr>
              <w:jc w:val="both"/>
              <w:rPr>
                <w:rFonts w:ascii="Helvetica" w:hAnsi="Helvetica" w:cs="Helvetica"/>
                <w:color w:val="575757"/>
                <w:sz w:val="20"/>
                <w:szCs w:val="20"/>
                <w:shd w:val="clear" w:color="auto" w:fill="F6F6F6"/>
              </w:rPr>
            </w:pPr>
            <w:r w:rsidRPr="00CA31EA">
              <w:rPr>
                <w:rFonts w:ascii="Helvetica" w:hAnsi="Helvetica" w:cs="Helvetica"/>
                <w:color w:val="575757"/>
                <w:sz w:val="20"/>
                <w:szCs w:val="20"/>
                <w:shd w:val="clear" w:color="auto" w:fill="F6F6F6"/>
              </w:rPr>
              <w:t>© Fundación NIIF 2024</w:t>
            </w:r>
          </w:p>
          <w:p w14:paraId="27572203" w14:textId="6E831E70" w:rsidR="00CA31EA" w:rsidRDefault="00CA31EA" w:rsidP="00CA31EA">
            <w:pPr>
              <w:jc w:val="both"/>
            </w:pPr>
          </w:p>
        </w:tc>
      </w:tr>
    </w:tbl>
    <w:p w14:paraId="0BE05A0D" w14:textId="77ED048A" w:rsidR="00CA31EA" w:rsidRDefault="00CA31EA" w:rsidP="00CA31EA">
      <w:pPr>
        <w:jc w:val="both"/>
      </w:pPr>
    </w:p>
    <w:p w14:paraId="5AD412AC" w14:textId="77777777" w:rsidR="00CA31EA" w:rsidRDefault="00CA31EA" w:rsidP="00CA31EA">
      <w:pPr>
        <w:jc w:val="both"/>
      </w:pPr>
    </w:p>
    <w:sectPr w:rsidR="00CA31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D3DAE"/>
    <w:multiLevelType w:val="multilevel"/>
    <w:tmpl w:val="E0CE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8446A5"/>
    <w:multiLevelType w:val="multilevel"/>
    <w:tmpl w:val="B65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EA"/>
    <w:rsid w:val="003B09EF"/>
    <w:rsid w:val="0045445D"/>
    <w:rsid w:val="00641A2E"/>
    <w:rsid w:val="00CA31EA"/>
    <w:rsid w:val="00E250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14EC"/>
  <w15:chartTrackingRefBased/>
  <w15:docId w15:val="{5982329F-D35C-4551-9E43-46432883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A31EA"/>
    <w:rPr>
      <w:color w:val="0563C1" w:themeColor="hyperlink"/>
      <w:u w:val="single"/>
    </w:rPr>
  </w:style>
  <w:style w:type="character" w:styleId="Mencinsinresolver">
    <w:name w:val="Unresolved Mention"/>
    <w:basedOn w:val="Fuentedeprrafopredeter"/>
    <w:uiPriority w:val="99"/>
    <w:semiHidden/>
    <w:unhideWhenUsed/>
    <w:rsid w:val="00CA31EA"/>
    <w:rPr>
      <w:color w:val="605E5C"/>
      <w:shd w:val="clear" w:color="auto" w:fill="E1DFDD"/>
    </w:rPr>
  </w:style>
  <w:style w:type="table" w:styleId="Tablaconcuadrcula">
    <w:name w:val="Table Grid"/>
    <w:basedOn w:val="Tablanormal"/>
    <w:uiPriority w:val="39"/>
    <w:rsid w:val="00CA3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18247">
      <w:bodyDiv w:val="1"/>
      <w:marLeft w:val="0"/>
      <w:marRight w:val="0"/>
      <w:marTop w:val="0"/>
      <w:marBottom w:val="0"/>
      <w:divBdr>
        <w:top w:val="none" w:sz="0" w:space="0" w:color="auto"/>
        <w:left w:val="none" w:sz="0" w:space="0" w:color="auto"/>
        <w:bottom w:val="none" w:sz="0" w:space="0" w:color="auto"/>
        <w:right w:val="none" w:sz="0" w:space="0" w:color="auto"/>
      </w:divBdr>
      <w:divsChild>
        <w:div w:id="558173095">
          <w:marLeft w:val="0"/>
          <w:marRight w:val="0"/>
          <w:marTop w:val="0"/>
          <w:marBottom w:val="0"/>
          <w:divBdr>
            <w:top w:val="none" w:sz="0" w:space="0" w:color="auto"/>
            <w:left w:val="none" w:sz="0" w:space="0" w:color="auto"/>
            <w:bottom w:val="none" w:sz="0" w:space="0" w:color="auto"/>
            <w:right w:val="none" w:sz="0" w:space="0" w:color="auto"/>
          </w:divBdr>
          <w:divsChild>
            <w:div w:id="803741759">
              <w:marLeft w:val="0"/>
              <w:marRight w:val="0"/>
              <w:marTop w:val="0"/>
              <w:marBottom w:val="0"/>
              <w:divBdr>
                <w:top w:val="none" w:sz="0" w:space="0" w:color="auto"/>
                <w:left w:val="none" w:sz="0" w:space="0" w:color="auto"/>
                <w:bottom w:val="none" w:sz="0" w:space="0" w:color="auto"/>
                <w:right w:val="none" w:sz="0" w:space="0" w:color="auto"/>
              </w:divBdr>
              <w:divsChild>
                <w:div w:id="433090339">
                  <w:marLeft w:val="0"/>
                  <w:marRight w:val="0"/>
                  <w:marTop w:val="0"/>
                  <w:marBottom w:val="0"/>
                  <w:divBdr>
                    <w:top w:val="none" w:sz="0" w:space="0" w:color="auto"/>
                    <w:left w:val="none" w:sz="0" w:space="0" w:color="auto"/>
                    <w:bottom w:val="none" w:sz="0" w:space="0" w:color="auto"/>
                    <w:right w:val="none" w:sz="0" w:space="0" w:color="auto"/>
                  </w:divBdr>
                  <w:divsChild>
                    <w:div w:id="1587032855">
                      <w:marLeft w:val="-225"/>
                      <w:marRight w:val="-225"/>
                      <w:marTop w:val="0"/>
                      <w:marBottom w:val="0"/>
                      <w:divBdr>
                        <w:top w:val="none" w:sz="0" w:space="0" w:color="auto"/>
                        <w:left w:val="none" w:sz="0" w:space="0" w:color="auto"/>
                        <w:bottom w:val="none" w:sz="0" w:space="0" w:color="auto"/>
                        <w:right w:val="none" w:sz="0" w:space="0" w:color="auto"/>
                      </w:divBdr>
                      <w:divsChild>
                        <w:div w:id="130944097">
                          <w:marLeft w:val="0"/>
                          <w:marRight w:val="0"/>
                          <w:marTop w:val="0"/>
                          <w:marBottom w:val="0"/>
                          <w:divBdr>
                            <w:top w:val="none" w:sz="0" w:space="0" w:color="auto"/>
                            <w:left w:val="none" w:sz="0" w:space="0" w:color="auto"/>
                            <w:bottom w:val="none" w:sz="0" w:space="0" w:color="auto"/>
                            <w:right w:val="none" w:sz="0" w:space="0" w:color="auto"/>
                          </w:divBdr>
                          <w:divsChild>
                            <w:div w:id="548541952">
                              <w:marLeft w:val="0"/>
                              <w:marRight w:val="0"/>
                              <w:marTop w:val="0"/>
                              <w:marBottom w:val="0"/>
                              <w:divBdr>
                                <w:top w:val="none" w:sz="0" w:space="0" w:color="auto"/>
                                <w:left w:val="none" w:sz="0" w:space="0" w:color="auto"/>
                                <w:bottom w:val="none" w:sz="0" w:space="0" w:color="auto"/>
                                <w:right w:val="none" w:sz="0" w:space="0" w:color="auto"/>
                              </w:divBdr>
                              <w:divsChild>
                                <w:div w:id="1913077695">
                                  <w:marLeft w:val="0"/>
                                  <w:marRight w:val="0"/>
                                  <w:marTop w:val="0"/>
                                  <w:marBottom w:val="0"/>
                                  <w:divBdr>
                                    <w:top w:val="none" w:sz="0" w:space="0" w:color="auto"/>
                                    <w:left w:val="none" w:sz="0" w:space="0" w:color="auto"/>
                                    <w:bottom w:val="none" w:sz="0" w:space="0" w:color="auto"/>
                                    <w:right w:val="none" w:sz="0" w:space="0" w:color="auto"/>
                                  </w:divBdr>
                                  <w:divsChild>
                                    <w:div w:id="1606427853">
                                      <w:marLeft w:val="0"/>
                                      <w:marRight w:val="0"/>
                                      <w:marTop w:val="0"/>
                                      <w:marBottom w:val="0"/>
                                      <w:divBdr>
                                        <w:top w:val="none" w:sz="0" w:space="0" w:color="auto"/>
                                        <w:left w:val="none" w:sz="0" w:space="0" w:color="auto"/>
                                        <w:bottom w:val="none" w:sz="0" w:space="0" w:color="auto"/>
                                        <w:right w:val="none" w:sz="0" w:space="0" w:color="auto"/>
                                      </w:divBdr>
                                      <w:divsChild>
                                        <w:div w:id="125516489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24488281">
                          <w:marLeft w:val="0"/>
                          <w:marRight w:val="0"/>
                          <w:marTop w:val="0"/>
                          <w:marBottom w:val="0"/>
                          <w:divBdr>
                            <w:top w:val="none" w:sz="0" w:space="0" w:color="auto"/>
                            <w:left w:val="none" w:sz="0" w:space="0" w:color="auto"/>
                            <w:bottom w:val="none" w:sz="0" w:space="0" w:color="auto"/>
                            <w:right w:val="none" w:sz="0" w:space="0" w:color="auto"/>
                          </w:divBdr>
                          <w:divsChild>
                            <w:div w:id="1284728419">
                              <w:marLeft w:val="0"/>
                              <w:marRight w:val="0"/>
                              <w:marTop w:val="0"/>
                              <w:marBottom w:val="0"/>
                              <w:divBdr>
                                <w:top w:val="none" w:sz="0" w:space="0" w:color="auto"/>
                                <w:left w:val="none" w:sz="0" w:space="0" w:color="auto"/>
                                <w:bottom w:val="none" w:sz="0" w:space="0" w:color="auto"/>
                                <w:right w:val="none" w:sz="0" w:space="0" w:color="auto"/>
                              </w:divBdr>
                              <w:divsChild>
                                <w:div w:id="1988589604">
                                  <w:marLeft w:val="0"/>
                                  <w:marRight w:val="0"/>
                                  <w:marTop w:val="0"/>
                                  <w:marBottom w:val="0"/>
                                  <w:divBdr>
                                    <w:top w:val="none" w:sz="0" w:space="0" w:color="auto"/>
                                    <w:left w:val="none" w:sz="0" w:space="0" w:color="auto"/>
                                    <w:bottom w:val="none" w:sz="0" w:space="0" w:color="auto"/>
                                    <w:right w:val="none" w:sz="0" w:space="0" w:color="auto"/>
                                  </w:divBdr>
                                  <w:divsChild>
                                    <w:div w:id="2117822164">
                                      <w:marLeft w:val="0"/>
                                      <w:marRight w:val="0"/>
                                      <w:marTop w:val="0"/>
                                      <w:marBottom w:val="300"/>
                                      <w:divBdr>
                                        <w:top w:val="single" w:sz="18" w:space="0" w:color="C6C6C6"/>
                                        <w:left w:val="none" w:sz="0" w:space="0" w:color="auto"/>
                                        <w:bottom w:val="none" w:sz="0" w:space="0" w:color="auto"/>
                                        <w:right w:val="none" w:sz="0" w:space="0" w:color="auto"/>
                                      </w:divBdr>
                                      <w:divsChild>
                                        <w:div w:id="266474827">
                                          <w:marLeft w:val="0"/>
                                          <w:marRight w:val="0"/>
                                          <w:marTop w:val="0"/>
                                          <w:marBottom w:val="0"/>
                                          <w:divBdr>
                                            <w:top w:val="none" w:sz="0" w:space="0" w:color="auto"/>
                                            <w:left w:val="none" w:sz="0" w:space="0" w:color="auto"/>
                                            <w:bottom w:val="none" w:sz="0" w:space="0" w:color="auto"/>
                                            <w:right w:val="none" w:sz="0" w:space="0" w:color="auto"/>
                                          </w:divBdr>
                                          <w:divsChild>
                                            <w:div w:id="1600524266">
                                              <w:marLeft w:val="0"/>
                                              <w:marRight w:val="0"/>
                                              <w:marTop w:val="0"/>
                                              <w:marBottom w:val="0"/>
                                              <w:divBdr>
                                                <w:top w:val="none" w:sz="0" w:space="0" w:color="auto"/>
                                                <w:left w:val="none" w:sz="0" w:space="0" w:color="auto"/>
                                                <w:bottom w:val="none" w:sz="0" w:space="0" w:color="auto"/>
                                                <w:right w:val="none" w:sz="0" w:space="0" w:color="auto"/>
                                              </w:divBdr>
                                              <w:divsChild>
                                                <w:div w:id="10348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21361">
                                  <w:marLeft w:val="0"/>
                                  <w:marRight w:val="0"/>
                                  <w:marTop w:val="0"/>
                                  <w:marBottom w:val="0"/>
                                  <w:divBdr>
                                    <w:top w:val="none" w:sz="0" w:space="0" w:color="auto"/>
                                    <w:left w:val="none" w:sz="0" w:space="0" w:color="auto"/>
                                    <w:bottom w:val="none" w:sz="0" w:space="0" w:color="auto"/>
                                    <w:right w:val="none" w:sz="0" w:space="0" w:color="auto"/>
                                  </w:divBdr>
                                  <w:divsChild>
                                    <w:div w:id="1509783331">
                                      <w:marLeft w:val="0"/>
                                      <w:marRight w:val="0"/>
                                      <w:marTop w:val="0"/>
                                      <w:marBottom w:val="0"/>
                                      <w:divBdr>
                                        <w:top w:val="none" w:sz="0" w:space="0" w:color="auto"/>
                                        <w:left w:val="none" w:sz="0" w:space="0" w:color="auto"/>
                                        <w:bottom w:val="none" w:sz="0" w:space="0" w:color="auto"/>
                                        <w:right w:val="none" w:sz="0" w:space="0" w:color="auto"/>
                                      </w:divBdr>
                                      <w:divsChild>
                                        <w:div w:id="1275481916">
                                          <w:marLeft w:val="0"/>
                                          <w:marRight w:val="0"/>
                                          <w:marTop w:val="0"/>
                                          <w:marBottom w:val="0"/>
                                          <w:divBdr>
                                            <w:top w:val="none" w:sz="0" w:space="0" w:color="auto"/>
                                            <w:left w:val="none" w:sz="0" w:space="0" w:color="auto"/>
                                            <w:bottom w:val="none" w:sz="0" w:space="0" w:color="auto"/>
                                            <w:right w:val="none" w:sz="0" w:space="0" w:color="auto"/>
                                          </w:divBdr>
                                          <w:divsChild>
                                            <w:div w:id="59494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91503">
                                  <w:marLeft w:val="0"/>
                                  <w:marRight w:val="0"/>
                                  <w:marTop w:val="0"/>
                                  <w:marBottom w:val="0"/>
                                  <w:divBdr>
                                    <w:top w:val="none" w:sz="0" w:space="0" w:color="auto"/>
                                    <w:left w:val="none" w:sz="0" w:space="0" w:color="auto"/>
                                    <w:bottom w:val="none" w:sz="0" w:space="0" w:color="auto"/>
                                    <w:right w:val="none" w:sz="0" w:space="0" w:color="auto"/>
                                  </w:divBdr>
                                  <w:divsChild>
                                    <w:div w:id="2708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436381">
          <w:marLeft w:val="0"/>
          <w:marRight w:val="0"/>
          <w:marTop w:val="0"/>
          <w:marBottom w:val="0"/>
          <w:divBdr>
            <w:top w:val="none" w:sz="0" w:space="0" w:color="auto"/>
            <w:left w:val="none" w:sz="0" w:space="0" w:color="auto"/>
            <w:bottom w:val="none" w:sz="0" w:space="0" w:color="auto"/>
            <w:right w:val="none" w:sz="0" w:space="0" w:color="auto"/>
          </w:divBdr>
          <w:divsChild>
            <w:div w:id="716318452">
              <w:marLeft w:val="0"/>
              <w:marRight w:val="0"/>
              <w:marTop w:val="0"/>
              <w:marBottom w:val="0"/>
              <w:divBdr>
                <w:top w:val="none" w:sz="0" w:space="0" w:color="auto"/>
                <w:left w:val="none" w:sz="0" w:space="0" w:color="auto"/>
                <w:bottom w:val="none" w:sz="0" w:space="0" w:color="auto"/>
                <w:right w:val="none" w:sz="0" w:space="0" w:color="auto"/>
              </w:divBdr>
              <w:divsChild>
                <w:div w:id="1522282507">
                  <w:marLeft w:val="0"/>
                  <w:marRight w:val="0"/>
                  <w:marTop w:val="0"/>
                  <w:marBottom w:val="0"/>
                  <w:divBdr>
                    <w:top w:val="none" w:sz="0" w:space="0" w:color="auto"/>
                    <w:left w:val="none" w:sz="0" w:space="0" w:color="auto"/>
                    <w:bottom w:val="none" w:sz="0" w:space="0" w:color="auto"/>
                    <w:right w:val="none" w:sz="0" w:space="0" w:color="auto"/>
                  </w:divBdr>
                  <w:divsChild>
                    <w:div w:id="140005427">
                      <w:marLeft w:val="0"/>
                      <w:marRight w:val="0"/>
                      <w:marTop w:val="0"/>
                      <w:marBottom w:val="0"/>
                      <w:divBdr>
                        <w:top w:val="none" w:sz="0" w:space="0" w:color="auto"/>
                        <w:left w:val="none" w:sz="0" w:space="0" w:color="auto"/>
                        <w:bottom w:val="none" w:sz="0" w:space="0" w:color="auto"/>
                        <w:right w:val="none" w:sz="0" w:space="0" w:color="auto"/>
                      </w:divBdr>
                      <w:divsChild>
                        <w:div w:id="1280455046">
                          <w:marLeft w:val="0"/>
                          <w:marRight w:val="0"/>
                          <w:marTop w:val="0"/>
                          <w:marBottom w:val="0"/>
                          <w:divBdr>
                            <w:top w:val="none" w:sz="0" w:space="0" w:color="auto"/>
                            <w:left w:val="none" w:sz="0" w:space="0" w:color="auto"/>
                            <w:bottom w:val="none" w:sz="0" w:space="0" w:color="auto"/>
                            <w:right w:val="none" w:sz="0" w:space="0" w:color="auto"/>
                          </w:divBdr>
                          <w:divsChild>
                            <w:div w:id="673074383">
                              <w:marLeft w:val="0"/>
                              <w:marRight w:val="0"/>
                              <w:marTop w:val="0"/>
                              <w:marBottom w:val="0"/>
                              <w:divBdr>
                                <w:top w:val="none" w:sz="0" w:space="0" w:color="auto"/>
                                <w:left w:val="none" w:sz="0" w:space="0" w:color="auto"/>
                                <w:bottom w:val="none" w:sz="0" w:space="0" w:color="auto"/>
                                <w:right w:val="none" w:sz="0" w:space="0" w:color="auto"/>
                              </w:divBdr>
                              <w:divsChild>
                                <w:div w:id="1300722620">
                                  <w:marLeft w:val="0"/>
                                  <w:marRight w:val="0"/>
                                  <w:marTop w:val="0"/>
                                  <w:marBottom w:val="0"/>
                                  <w:divBdr>
                                    <w:top w:val="none" w:sz="0" w:space="0" w:color="auto"/>
                                    <w:left w:val="none" w:sz="0" w:space="0" w:color="auto"/>
                                    <w:bottom w:val="none" w:sz="0" w:space="0" w:color="auto"/>
                                    <w:right w:val="none" w:sz="0" w:space="0" w:color="auto"/>
                                  </w:divBdr>
                                  <w:divsChild>
                                    <w:div w:id="817066808">
                                      <w:marLeft w:val="0"/>
                                      <w:marRight w:val="0"/>
                                      <w:marTop w:val="0"/>
                                      <w:marBottom w:val="0"/>
                                      <w:divBdr>
                                        <w:top w:val="none" w:sz="0" w:space="0" w:color="auto"/>
                                        <w:left w:val="none" w:sz="0" w:space="0" w:color="auto"/>
                                        <w:bottom w:val="none" w:sz="0" w:space="0" w:color="auto"/>
                                        <w:right w:val="none" w:sz="0" w:space="0" w:color="auto"/>
                                      </w:divBdr>
                                      <w:divsChild>
                                        <w:div w:id="1180436555">
                                          <w:marLeft w:val="0"/>
                                          <w:marRight w:val="0"/>
                                          <w:marTop w:val="0"/>
                                          <w:marBottom w:val="0"/>
                                          <w:divBdr>
                                            <w:top w:val="none" w:sz="0" w:space="0" w:color="auto"/>
                                            <w:left w:val="none" w:sz="0" w:space="0" w:color="auto"/>
                                            <w:bottom w:val="none" w:sz="0" w:space="0" w:color="auto"/>
                                            <w:right w:val="none" w:sz="0" w:space="0" w:color="auto"/>
                                          </w:divBdr>
                                          <w:divsChild>
                                            <w:div w:id="1203709770">
                                              <w:marLeft w:val="0"/>
                                              <w:marRight w:val="0"/>
                                              <w:marTop w:val="0"/>
                                              <w:marBottom w:val="0"/>
                                              <w:divBdr>
                                                <w:top w:val="none" w:sz="0" w:space="0" w:color="auto"/>
                                                <w:left w:val="none" w:sz="0" w:space="0" w:color="auto"/>
                                                <w:bottom w:val="none" w:sz="0" w:space="0" w:color="auto"/>
                                                <w:right w:val="none" w:sz="0" w:space="0" w:color="auto"/>
                                              </w:divBdr>
                                              <w:divsChild>
                                                <w:div w:id="3219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0751202">
      <w:bodyDiv w:val="1"/>
      <w:marLeft w:val="0"/>
      <w:marRight w:val="0"/>
      <w:marTop w:val="0"/>
      <w:marBottom w:val="0"/>
      <w:divBdr>
        <w:top w:val="none" w:sz="0" w:space="0" w:color="auto"/>
        <w:left w:val="none" w:sz="0" w:space="0" w:color="auto"/>
        <w:bottom w:val="none" w:sz="0" w:space="0" w:color="auto"/>
        <w:right w:val="none" w:sz="0" w:space="0" w:color="auto"/>
      </w:divBdr>
      <w:divsChild>
        <w:div w:id="223181856">
          <w:marLeft w:val="0"/>
          <w:marRight w:val="0"/>
          <w:marTop w:val="0"/>
          <w:marBottom w:val="0"/>
          <w:divBdr>
            <w:top w:val="none" w:sz="0" w:space="0" w:color="auto"/>
            <w:left w:val="none" w:sz="0" w:space="0" w:color="auto"/>
            <w:bottom w:val="none" w:sz="0" w:space="0" w:color="auto"/>
            <w:right w:val="none" w:sz="0" w:space="0" w:color="auto"/>
          </w:divBdr>
        </w:div>
        <w:div w:id="7101564">
          <w:marLeft w:val="0"/>
          <w:marRight w:val="0"/>
          <w:marTop w:val="300"/>
          <w:marBottom w:val="300"/>
          <w:divBdr>
            <w:top w:val="none" w:sz="0" w:space="0" w:color="auto"/>
            <w:left w:val="none" w:sz="0" w:space="0" w:color="auto"/>
            <w:bottom w:val="none" w:sz="0" w:space="0" w:color="auto"/>
            <w:right w:val="none" w:sz="0" w:space="0" w:color="auto"/>
          </w:divBdr>
        </w:div>
        <w:div w:id="646514163">
          <w:marLeft w:val="0"/>
          <w:marRight w:val="0"/>
          <w:marTop w:val="600"/>
          <w:marBottom w:val="0"/>
          <w:divBdr>
            <w:top w:val="none" w:sz="0" w:space="0" w:color="auto"/>
            <w:left w:val="none" w:sz="0" w:space="0" w:color="auto"/>
            <w:bottom w:val="none" w:sz="0" w:space="0" w:color="auto"/>
            <w:right w:val="none" w:sz="0" w:space="0" w:color="auto"/>
          </w:divBdr>
          <w:divsChild>
            <w:div w:id="884634970">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158229168">
      <w:bodyDiv w:val="1"/>
      <w:marLeft w:val="0"/>
      <w:marRight w:val="0"/>
      <w:marTop w:val="0"/>
      <w:marBottom w:val="0"/>
      <w:divBdr>
        <w:top w:val="none" w:sz="0" w:space="0" w:color="auto"/>
        <w:left w:val="none" w:sz="0" w:space="0" w:color="auto"/>
        <w:bottom w:val="none" w:sz="0" w:space="0" w:color="auto"/>
        <w:right w:val="none" w:sz="0" w:space="0" w:color="auto"/>
      </w:divBdr>
    </w:div>
    <w:div w:id="184308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esg/" TargetMode="External"/><Relationship Id="rId13" Type="http://schemas.openxmlformats.org/officeDocument/2006/relationships/hyperlink" Target="https://www.ifrs.org/content/ifrs/home/projects/work-plan/issb-consultation-on-agenda-prioritie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frs.org/news-and-events/news/2024/04/issb-commence-research-projects-risks-opportunities-nature-human-capital/" TargetMode="External"/><Relationship Id="rId12" Type="http://schemas.openxmlformats.org/officeDocument/2006/relationships/image" Target="media/image2.png"/><Relationship Id="rId17" Type="http://schemas.openxmlformats.org/officeDocument/2006/relationships/hyperlink" Target="https://www.ifrs.org/content/ifrs/home/issued-standards/ifrs-sustainability-standards-navigator/ifrs-s2-climate-related-disclosures.html" TargetMode="External"/><Relationship Id="rId2" Type="http://schemas.openxmlformats.org/officeDocument/2006/relationships/styles" Target="styles.xml"/><Relationship Id="rId16" Type="http://schemas.openxmlformats.org/officeDocument/2006/relationships/hyperlink" Target="https://www.ifrs.org/content/ifrs/home/issued-standards/ifrs-sustainability-standards-navigator/ifrs-s1-general-requirements.html" TargetMode="External"/><Relationship Id="rId1" Type="http://schemas.openxmlformats.org/officeDocument/2006/relationships/numbering" Target="numbering.xml"/><Relationship Id="rId6" Type="http://schemas.openxmlformats.org/officeDocument/2006/relationships/hyperlink" Target="https://www.xbrl.org/news/issb-to-research-nature-and-human-capital-disclosure/" TargetMode="External"/><Relationship Id="rId11" Type="http://schemas.openxmlformats.org/officeDocument/2006/relationships/hyperlink" Target="https://www.xbrl.org/tag/nature/" TargetMode="External"/><Relationship Id="rId5" Type="http://schemas.openxmlformats.org/officeDocument/2006/relationships/image" Target="media/image1.jpeg"/><Relationship Id="rId15" Type="http://schemas.openxmlformats.org/officeDocument/2006/relationships/hyperlink" Target="https://www.ifrs.org/content/ifrs/home/news-and-events/calendar/2024/april/international-sustainability-standards-board.html" TargetMode="External"/><Relationship Id="rId10" Type="http://schemas.openxmlformats.org/officeDocument/2006/relationships/hyperlink" Target="https://www.xbrl.org/tag/iss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xbrl.org/tag/human-capital/" TargetMode="External"/><Relationship Id="rId14" Type="http://schemas.openxmlformats.org/officeDocument/2006/relationships/hyperlink" Target="https://www.ifrs.org/content/ifrs/home/groups/international-sustainability-standards-board.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1134</Words>
  <Characters>6239</Characters>
  <Application>Microsoft Office Word</Application>
  <DocSecurity>0</DocSecurity>
  <Lines>51</Lines>
  <Paragraphs>14</Paragraphs>
  <ScaleCrop>false</ScaleCrop>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4</cp:revision>
  <dcterms:created xsi:type="dcterms:W3CDTF">2024-05-01T18:58:00Z</dcterms:created>
  <dcterms:modified xsi:type="dcterms:W3CDTF">2024-05-21T02:37:00Z</dcterms:modified>
</cp:coreProperties>
</file>