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BD48" w14:textId="77777777" w:rsidR="000C62B0" w:rsidRPr="003B0508" w:rsidRDefault="000C62B0" w:rsidP="000C62B0">
      <w:pPr>
        <w:rPr>
          <w:rFonts w:ascii="Arial Nova Cond" w:hAnsi="Arial Nova Cond"/>
          <w:sz w:val="28"/>
          <w:szCs w:val="28"/>
        </w:rPr>
      </w:pPr>
      <w:r w:rsidRPr="003B0508">
        <w:rPr>
          <w:rFonts w:ascii="Arial Nova Cond" w:hAnsi="Arial Nova Cond"/>
          <w:sz w:val="28"/>
          <w:szCs w:val="28"/>
        </w:rPr>
        <w:t>PCAOB propone mayor transparencia para las empresas de auditoría</w:t>
      </w:r>
    </w:p>
    <w:p w14:paraId="23978FC2" w14:textId="75DD71D7" w:rsidR="000C62B0" w:rsidRPr="000C62B0" w:rsidRDefault="000C62B0" w:rsidP="000C62B0">
      <w:r w:rsidRPr="000C62B0">
        <w:rPr>
          <w:noProof/>
        </w:rPr>
        <w:drawing>
          <wp:inline distT="0" distB="0" distL="0" distR="0" wp14:anchorId="0BF82936" wp14:editId="60534726">
            <wp:extent cx="5612130" cy="561213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14:paraId="296BFE91" w14:textId="0B4544D7" w:rsidR="00B917FB" w:rsidRPr="000C62B0" w:rsidRDefault="00B917FB" w:rsidP="00B917FB">
      <w:r w:rsidRPr="000C62B0">
        <w:t>Publicado el 21 de abril de 2024 por</w:t>
      </w:r>
      <w:r w:rsidR="003B0508">
        <w:t xml:space="preserve"> </w:t>
      </w:r>
      <w:hyperlink r:id="rId6" w:history="1">
        <w:r w:rsidRPr="000C62B0">
          <w:rPr>
            <w:rStyle w:val="Hipervnculo"/>
            <w:b/>
            <w:bCs/>
          </w:rPr>
          <w:t>Editor</w:t>
        </w:r>
      </w:hyperlink>
    </w:p>
    <w:p w14:paraId="0872CB3D" w14:textId="77777777" w:rsidR="000C62B0" w:rsidRPr="000C62B0" w:rsidRDefault="000C62B0" w:rsidP="000C62B0">
      <w:pPr>
        <w:jc w:val="both"/>
      </w:pPr>
      <w:r w:rsidRPr="000C62B0">
        <w:t>El 9 de abril, la Junta de Supervisión Contable de Empresas Públicas de EE. UU. (PCAOB) publicó una propuesta para mejorar significativamente una serie de métricas que las empresas de auditoría deberán revelar públicamente anualmente.</w:t>
      </w:r>
    </w:p>
    <w:p w14:paraId="36EB9AC2" w14:textId="77777777" w:rsidR="000C62B0" w:rsidRPr="000C62B0" w:rsidRDefault="000C62B0" w:rsidP="000C62B0">
      <w:pPr>
        <w:jc w:val="both"/>
      </w:pPr>
      <w:r w:rsidRPr="000C62B0">
        <w:t>Las métricas propuestas incluyen medidas sobre la cantidad de profesionales de auditoría que trabajaron dentro de los equipos de compromisos, las horas trabajadas en diferentes categorías laborales (incluida la cantidad de horas de socios dedicadas a auditorías), la carga de trabajo general (horas trabajadas cada trimestre, por ejemplo), desgloses. sobre el uso de centros especializados y de servicios compartidos, así como años de experiencia y años de experiencia en el sector aportados por la firma auditora en auditorías reguladas.</w:t>
      </w:r>
    </w:p>
    <w:p w14:paraId="079CD5C7" w14:textId="7E7D74BA" w:rsidR="000C62B0" w:rsidRPr="000C62B0" w:rsidRDefault="000C62B0" w:rsidP="000C62B0">
      <w:pPr>
        <w:jc w:val="both"/>
      </w:pPr>
      <w:r w:rsidRPr="000C62B0">
        <w:lastRenderedPageBreak/>
        <w:t>Las divulgaciones también buscarán una gran cantidad de información sobre otros temas relevantes, incluidos los niveles de retención, los niveles de capacitación y las métricas sobre la gestión de riesgos y el trabajo de revisión interna realizado. Es una lista en expansión.</w:t>
      </w:r>
      <w:r w:rsidR="003B0508">
        <w:t xml:space="preserve"> </w:t>
      </w:r>
      <w:r w:rsidRPr="000C62B0">
        <w:rPr>
          <w:i/>
          <w:iCs/>
        </w:rPr>
        <w:t>{Ed: conocemos inversores que quieren mucho más, pero esto representa una expansión significativa}</w:t>
      </w:r>
    </w:p>
    <w:p w14:paraId="26C1E9D8" w14:textId="77777777" w:rsidR="000C62B0" w:rsidRPr="000C62B0" w:rsidRDefault="000C62B0" w:rsidP="000C62B0">
      <w:pPr>
        <w:jc w:val="both"/>
      </w:pPr>
      <w:r w:rsidRPr="000C62B0">
        <w:t>¿La parte más interesante desde nuestra perspectiva? Sí. El regulador pregunta si esta información debería etiquetarse en Inline XBRL.</w:t>
      </w:r>
    </w:p>
    <w:p w14:paraId="7834BFEF" w14:textId="77777777" w:rsidR="000C62B0" w:rsidRPr="000C62B0" w:rsidRDefault="000C62B0" w:rsidP="000C62B0">
      <w:pPr>
        <w:jc w:val="both"/>
      </w:pPr>
      <w:r w:rsidRPr="000C62B0">
        <w:t>Los comentarios deben presentarse antes del 7 de junio de 2024. Encuentre los  </w:t>
      </w:r>
      <w:hyperlink r:id="rId7" w:tgtFrame="_blank" w:history="1">
        <w:r w:rsidRPr="000C62B0">
          <w:rPr>
            <w:rStyle w:val="Hipervnculo"/>
          </w:rPr>
          <w:t>detalles aquí.</w:t>
        </w:r>
      </w:hyperlink>
    </w:p>
    <w:p w14:paraId="1AB42412" w14:textId="05D7B319" w:rsidR="000C62B0" w:rsidRPr="000C62B0" w:rsidRDefault="003B0508" w:rsidP="000C62B0">
      <w:pPr>
        <w:jc w:val="both"/>
      </w:pPr>
      <w:hyperlink r:id="rId8" w:history="1">
        <w:r w:rsidR="000C62B0" w:rsidRPr="000C62B0">
          <w:rPr>
            <w:rStyle w:val="Hipervnculo"/>
          </w:rPr>
          <w:t>AUDITORÍA DE</w:t>
        </w:r>
        <w:r>
          <w:rPr>
            <w:rStyle w:val="Hipervnculo"/>
          </w:rPr>
          <w:t xml:space="preserve"> </w:t>
        </w:r>
      </w:hyperlink>
      <w:hyperlink r:id="rId9" w:history="1">
        <w:r w:rsidR="000C62B0" w:rsidRPr="000C62B0">
          <w:rPr>
            <w:rStyle w:val="Hipervnculo"/>
          </w:rPr>
          <w:t>transparencia</w:t>
        </w:r>
        <w:r>
          <w:rPr>
            <w:rStyle w:val="Hipervnculo"/>
          </w:rPr>
          <w:t xml:space="preserve"> </w:t>
        </w:r>
      </w:hyperlink>
      <w:hyperlink r:id="rId10" w:history="1">
        <w:r w:rsidR="000C62B0" w:rsidRPr="000C62B0">
          <w:rPr>
            <w:rStyle w:val="Hipervnculo"/>
          </w:rPr>
          <w:t>DE LA PCAOB</w:t>
        </w:r>
      </w:hyperlink>
    </w:p>
    <w:p w14:paraId="0BD87DEA" w14:textId="06D6D805" w:rsidR="000C62B0" w:rsidRPr="000C62B0" w:rsidRDefault="000C62B0" w:rsidP="000C62B0">
      <w:pPr>
        <w:jc w:val="both"/>
      </w:pPr>
    </w:p>
    <w:p w14:paraId="5F0837C4" w14:textId="4C7E662C" w:rsidR="00F2127E" w:rsidRDefault="00F2127E" w:rsidP="000C62B0">
      <w:pPr>
        <w:jc w:val="both"/>
      </w:pPr>
    </w:p>
    <w:p w14:paraId="2822825F" w14:textId="4EF04EED" w:rsidR="000C62B0" w:rsidRDefault="000C62B0"/>
    <w:p w14:paraId="7410C0D2" w14:textId="41C2399E" w:rsidR="000C62B0" w:rsidRDefault="000C62B0"/>
    <w:p w14:paraId="532929A8" w14:textId="6D2FE1E7" w:rsidR="000C62B0" w:rsidRDefault="000C62B0"/>
    <w:p w14:paraId="60FA4CE2" w14:textId="7D645E94" w:rsidR="000C62B0" w:rsidRDefault="000C62B0"/>
    <w:p w14:paraId="0E8D43DD" w14:textId="5C711E92" w:rsidR="000C62B0" w:rsidRDefault="000C62B0"/>
    <w:p w14:paraId="7AAEA419" w14:textId="18DA43DA" w:rsidR="000C62B0" w:rsidRDefault="000C62B0"/>
    <w:p w14:paraId="0869C3E9" w14:textId="5C8D8095" w:rsidR="000C62B0" w:rsidRDefault="000C62B0"/>
    <w:p w14:paraId="3B8AC426" w14:textId="5593AE7C" w:rsidR="000C62B0" w:rsidRDefault="000C62B0"/>
    <w:p w14:paraId="1D99AC3B" w14:textId="5A35356C" w:rsidR="000C62B0" w:rsidRDefault="000C62B0"/>
    <w:p w14:paraId="464F625A" w14:textId="4AF12E9D" w:rsidR="000C62B0" w:rsidRDefault="000C62B0"/>
    <w:p w14:paraId="21962CAE" w14:textId="193CDB6A" w:rsidR="000C62B0" w:rsidRDefault="000C62B0"/>
    <w:p w14:paraId="4EBA40EE" w14:textId="5A59D8FB" w:rsidR="000C62B0" w:rsidRDefault="000C62B0"/>
    <w:p w14:paraId="43E5EBF3" w14:textId="6699B027" w:rsidR="000C62B0" w:rsidRDefault="000C62B0"/>
    <w:p w14:paraId="3107B112" w14:textId="0F20BE68" w:rsidR="000C62B0" w:rsidRDefault="000C62B0"/>
    <w:p w14:paraId="76355E77" w14:textId="7875EE64" w:rsidR="000C62B0" w:rsidRDefault="000C62B0"/>
    <w:p w14:paraId="5F477992" w14:textId="7B29FBB3" w:rsidR="000C62B0" w:rsidRDefault="000C62B0"/>
    <w:p w14:paraId="14A9F199" w14:textId="56A63FE4" w:rsidR="003B0508" w:rsidRDefault="003B0508"/>
    <w:p w14:paraId="42EDE857" w14:textId="3BF73BA1" w:rsidR="003B0508" w:rsidRDefault="003B0508"/>
    <w:p w14:paraId="16B76A28" w14:textId="77777777" w:rsidR="003B0508" w:rsidRDefault="003B0508"/>
    <w:p w14:paraId="4810C15E" w14:textId="580F406D" w:rsidR="000C62B0" w:rsidRDefault="000C62B0">
      <w:r w:rsidRPr="000C62B0">
        <w:rPr>
          <w:noProof/>
        </w:rPr>
        <w:lastRenderedPageBreak/>
        <w:drawing>
          <wp:inline distT="0" distB="0" distL="0" distR="0" wp14:anchorId="5C2780D2" wp14:editId="6222669C">
            <wp:extent cx="5612130" cy="90360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03605"/>
                    </a:xfrm>
                    <a:prstGeom prst="rect">
                      <a:avLst/>
                    </a:prstGeom>
                  </pic:spPr>
                </pic:pic>
              </a:graphicData>
            </a:graphic>
          </wp:inline>
        </w:drawing>
      </w:r>
    </w:p>
    <w:p w14:paraId="3D8959DC" w14:textId="77777777" w:rsidR="000C62B0" w:rsidRPr="000C62B0" w:rsidRDefault="000C62B0" w:rsidP="000C62B0">
      <w:pPr>
        <w:jc w:val="both"/>
        <w:rPr>
          <w:rFonts w:ascii="Arial Nova Cond" w:hAnsi="Arial Nova Cond"/>
          <w:sz w:val="24"/>
          <w:szCs w:val="24"/>
        </w:rPr>
      </w:pPr>
      <w:r w:rsidRPr="000C62B0">
        <w:rPr>
          <w:rFonts w:ascii="Arial Nova Cond" w:hAnsi="Arial Nova Cond"/>
          <w:sz w:val="24"/>
          <w:szCs w:val="24"/>
        </w:rPr>
        <w:t>La PCAOB emite propuestas para estandarizar la divulgación de métricas de empresas y compromisos y modernizar el marco de presentación de informes de la PCAOB</w:t>
      </w:r>
    </w:p>
    <w:p w14:paraId="59492530" w14:textId="77777777" w:rsidR="000C62B0" w:rsidRPr="000C62B0" w:rsidRDefault="000C62B0" w:rsidP="000C62B0">
      <w:pPr>
        <w:jc w:val="both"/>
      </w:pPr>
      <w:r w:rsidRPr="000C62B0">
        <w:t>Un par de propuestas de la PCAOB beneficiarían a los inversionistas, los comités de auditoría y otros al aumentar la transparencia de las firmas de auditoría, brindar coherencia a la divulgación y el cálculo de las métricas de participación y de las firmas de auditoría, y ayudar a la PCAOB a llevar a cabo su supervisión.</w:t>
      </w:r>
    </w:p>
    <w:p w14:paraId="66247B3A" w14:textId="77777777" w:rsidR="000C62B0" w:rsidRPr="000C62B0" w:rsidRDefault="000C62B0" w:rsidP="000C62B0">
      <w:pPr>
        <w:jc w:val="both"/>
      </w:pPr>
      <w:r w:rsidRPr="000C62B0">
        <w:t>Washington, DC, 9 de abril de 2024</w:t>
      </w:r>
    </w:p>
    <w:p w14:paraId="20984347" w14:textId="5BDE92F6" w:rsidR="000C62B0" w:rsidRPr="000C62B0" w:rsidRDefault="000C62B0" w:rsidP="000C62B0">
      <w:pPr>
        <w:jc w:val="both"/>
      </w:pPr>
      <w:r w:rsidRPr="000C62B0">
        <w:t>La Junta de Supervisión de Contabilidad de Empresas Públicas (PCAOB) emitió hoy para comentario público una propuesta sobre</w:t>
      </w:r>
      <w:r w:rsidR="003B0508">
        <w:t xml:space="preserve"> </w:t>
      </w:r>
      <w:hyperlink r:id="rId12" w:history="1">
        <w:r w:rsidRPr="000C62B0">
          <w:rPr>
            <w:rStyle w:val="Hipervnculo"/>
            <w:b/>
            <w:bCs/>
          </w:rPr>
          <w:t>la presentación de informes públicos sobre métricas estandarizadas de firma y compromiso.(PDF)</w:t>
        </w:r>
      </w:hyperlink>
      <w:r w:rsidR="003B0508">
        <w:t xml:space="preserve"> </w:t>
      </w:r>
      <w:r w:rsidRPr="000C62B0">
        <w:t>y una propuesta separada sobre</w:t>
      </w:r>
      <w:r w:rsidR="003B0508">
        <w:t xml:space="preserve"> </w:t>
      </w:r>
      <w:hyperlink r:id="rId13" w:history="1">
        <w:r w:rsidRPr="000C62B0">
          <w:rPr>
            <w:rStyle w:val="Hipervnculo"/>
            <w:b/>
            <w:bCs/>
          </w:rPr>
          <w:t>el marco de la PCAOB para recopilar información de las firmas de auditoría(PDF)</w:t>
        </w:r>
      </w:hyperlink>
      <w:r w:rsidRPr="000C62B0">
        <w:t>.</w:t>
      </w:r>
    </w:p>
    <w:p w14:paraId="0C59C127" w14:textId="77777777" w:rsidR="000C62B0" w:rsidRPr="000C62B0" w:rsidRDefault="000C62B0" w:rsidP="000C62B0">
      <w:pPr>
        <w:jc w:val="both"/>
      </w:pPr>
      <w:r w:rsidRPr="000C62B0">
        <w:t>La fecha límite para comentarios públicos sobre ambas propuestas es el 7 de junio de 2024.</w:t>
      </w:r>
    </w:p>
    <w:p w14:paraId="6A53BE25" w14:textId="5EB60A32" w:rsidR="000C62B0" w:rsidRPr="000C62B0" w:rsidRDefault="000C62B0" w:rsidP="000C62B0">
      <w:pPr>
        <w:jc w:val="both"/>
      </w:pPr>
      <w:r w:rsidRPr="000C62B0">
        <w:rPr>
          <w:b/>
          <w:bCs/>
        </w:rPr>
        <w:t>"La información sólida y consistente refuerza la confianza en nuestros mercados de capitales y puede impulsar la calidad de las auditorías",</w:t>
      </w:r>
      <w:r w:rsidR="003B0508">
        <w:t xml:space="preserve"> </w:t>
      </w:r>
      <w:r w:rsidRPr="000C62B0">
        <w:t>dijo la presidenta de la PCAOB, Erica Y. Williams.</w:t>
      </w:r>
      <w:r w:rsidR="003B0508">
        <w:t xml:space="preserve"> </w:t>
      </w:r>
      <w:r w:rsidRPr="000C62B0">
        <w:rPr>
          <w:b/>
          <w:bCs/>
        </w:rPr>
        <w:t>“Basadas en amplios estudios y aportes de las partes interesadas, las propuestas de hoy fortalecerían la supervisión de la PCAOB y equiparían a los inversionistas, comités de auditoría y otros con datos claros, consistentes y procesables relacionados con la auditoría."</w:t>
      </w:r>
    </w:p>
    <w:p w14:paraId="29B28E80" w14:textId="77777777" w:rsidR="000C62B0" w:rsidRPr="000C62B0" w:rsidRDefault="000C62B0" w:rsidP="000C62B0">
      <w:pPr>
        <w:jc w:val="both"/>
        <w:rPr>
          <w:b/>
          <w:bCs/>
        </w:rPr>
      </w:pPr>
      <w:r w:rsidRPr="000C62B0">
        <w:rPr>
          <w:b/>
          <w:bCs/>
        </w:rPr>
        <w:t>La propuesta de métricas de firma y compromiso requeriría que las firmas de auditoría informen públicamente métricas estandarizadas</w:t>
      </w:r>
    </w:p>
    <w:p w14:paraId="42117E0C" w14:textId="3E7CDBAC" w:rsidR="000C62B0" w:rsidRPr="000C62B0" w:rsidRDefault="000C62B0" w:rsidP="000C62B0">
      <w:pPr>
        <w:jc w:val="both"/>
      </w:pPr>
      <w:r w:rsidRPr="000C62B0">
        <w:t>La propuesta actual</w:t>
      </w:r>
      <w:r w:rsidR="003B0508">
        <w:t xml:space="preserve"> </w:t>
      </w:r>
      <w:hyperlink r:id="rId14" w:history="1">
        <w:r w:rsidRPr="000C62B0">
          <w:rPr>
            <w:rStyle w:val="Hipervnculo"/>
            <w:b/>
            <w:bCs/>
          </w:rPr>
          <w:t>de métricas de firma y compromiso</w:t>
        </w:r>
      </w:hyperlink>
      <w:r w:rsidR="003B0508">
        <w:rPr>
          <w:rStyle w:val="Hipervnculo"/>
          <w:b/>
          <w:bCs/>
        </w:rPr>
        <w:t xml:space="preserve"> </w:t>
      </w:r>
      <w:hyperlink r:id="rId15" w:history="1">
        <w:r w:rsidRPr="000C62B0">
          <w:rPr>
            <w:rStyle w:val="Hipervnculo"/>
            <w:b/>
            <w:bCs/>
          </w:rPr>
          <w:t>(PDF)</w:t>
        </w:r>
      </w:hyperlink>
      <w:r w:rsidR="003B0508">
        <w:rPr>
          <w:rStyle w:val="Hipervnculo"/>
          <w:b/>
          <w:bCs/>
        </w:rPr>
        <w:t>.</w:t>
      </w:r>
      <w:r w:rsidR="003B0508">
        <w:t xml:space="preserve"> </w:t>
      </w:r>
      <w:r w:rsidRPr="000C62B0">
        <w:t>Si se adopta,</w:t>
      </w:r>
      <w:r w:rsidR="003B0508">
        <w:t xml:space="preserve"> </w:t>
      </w:r>
      <w:r w:rsidRPr="000C62B0">
        <w:t>requeriría que las firmas de contadores públicos registradas en la PCAOB que auditen a uno o más emisores que califican como declarantes acelerados o grandes declarantes acelerados informen públicamente métricas específicas relacionadas con dichas auditorías y su práctica de auditoría.</w:t>
      </w:r>
    </w:p>
    <w:p w14:paraId="341D5905" w14:textId="77777777" w:rsidR="000C62B0" w:rsidRPr="000C62B0" w:rsidRDefault="000C62B0" w:rsidP="000C62B0">
      <w:pPr>
        <w:jc w:val="both"/>
        <w:rPr>
          <w:b/>
          <w:bCs/>
        </w:rPr>
      </w:pPr>
      <w:r w:rsidRPr="000C62B0">
        <w:rPr>
          <w:b/>
          <w:bCs/>
        </w:rPr>
        <w:t>Componentes clave de la propuesta de métricas de empresa y compromiso</w:t>
      </w:r>
    </w:p>
    <w:p w14:paraId="64ECD34E" w14:textId="77777777" w:rsidR="000C62B0" w:rsidRPr="000C62B0" w:rsidRDefault="000C62B0" w:rsidP="000C62B0">
      <w:pPr>
        <w:jc w:val="both"/>
      </w:pPr>
      <w:r w:rsidRPr="000C62B0">
        <w:t>La propuesta establece métricas estandarizadas a nivel de empresa y compromiso que el personal de la PCAOB cree que crearían un conjunto de datos útil disponible para los inversores y otras partes interesadas para su análisis y comparación. Las métricas propuestas cubren (1) participación de socios y gerentes, (2) carga de trabajo, (3) recursos de auditoría (4) experiencia del personal de auditoría, (5) experiencia del personal de auditoría en la industria, (6) retención y permanencia, (7) auditoría horas y áreas de riesgo (solo a nivel de compromiso), (8) asignación de horas de auditoría, (9) calificaciones de desempeño de calidad y compensación (solo a nivel de firma), (10) monitoreo interno de las firmas de auditoría y (11) historial de reformulación ( sólo a nivel de empresa).</w:t>
      </w:r>
    </w:p>
    <w:p w14:paraId="6C7343E8" w14:textId="77777777" w:rsidR="000C62B0" w:rsidRPr="000C62B0" w:rsidRDefault="000C62B0" w:rsidP="000C62B0">
      <w:pPr>
        <w:jc w:val="both"/>
      </w:pPr>
      <w:r w:rsidRPr="000C62B0">
        <w:lastRenderedPageBreak/>
        <w:t>La propuesta requeriría informes anuales de métricas a nivel de empresa en un nuevo formulario FM, para las empresas que actúan como auditor principal de al menos un declarante acelerado o un declarante acelerado grande. La presentación de informes de métricas a nivel de participación para las auditorías de declarantes acelerados y de grandes declarantes acelerados se realizaría a través de un Formulario AP revisado, que pasaría a llamarse "Participantes y métricas de la auditoría". Finalmente, la propuesta permitiría, pero no exigiría, divulgaciones narrativas limitadas tanto en el formulario FM como en el formulario AP para proporcionar contexto y explicación de las métricas requeridas.</w:t>
      </w:r>
    </w:p>
    <w:p w14:paraId="1D00FCB1" w14:textId="77777777" w:rsidR="000C62B0" w:rsidRPr="000C62B0" w:rsidRDefault="000C62B0" w:rsidP="000C62B0">
      <w:pPr>
        <w:jc w:val="both"/>
        <w:rPr>
          <w:b/>
          <w:bCs/>
        </w:rPr>
      </w:pPr>
      <w:r w:rsidRPr="000C62B0">
        <w:rPr>
          <w:b/>
          <w:bCs/>
        </w:rPr>
        <w:t>Por qué la PCAOB está emitiendo esta propuesta de métricas de empresa y compromiso</w:t>
      </w:r>
    </w:p>
    <w:p w14:paraId="49EACADF" w14:textId="77777777" w:rsidR="000C62B0" w:rsidRPr="000C62B0" w:rsidRDefault="000C62B0" w:rsidP="000C62B0">
      <w:pPr>
        <w:jc w:val="both"/>
      </w:pPr>
      <w:r w:rsidRPr="000C62B0">
        <w:t>La información confiable y consistente puede mejorar la capacidad de los inversionistas para tomar decisiones informadas sobre la inversión de su capital, ratificar la selección de auditores y votar por los miembros de la junta directiva (incluidos los miembros del comité de auditoría). Al mismo tiempo, puede mejorar la capacidad de los comités de auditoría para elegir entre los auditores y monitorear su desempeño.</w:t>
      </w:r>
    </w:p>
    <w:p w14:paraId="4F75AC2C" w14:textId="77777777" w:rsidR="000C62B0" w:rsidRPr="000C62B0" w:rsidRDefault="000C62B0" w:rsidP="000C62B0">
      <w:pPr>
        <w:jc w:val="both"/>
      </w:pPr>
      <w:r w:rsidRPr="000C62B0">
        <w:t>Si bien hoy en día algunas empresas divulgan públicamente ciertas métricas a nivel empresarial, el personal de la PCAOB ha observado que el número de empresas que lo hacen es pequeño.</w:t>
      </w:r>
    </w:p>
    <w:p w14:paraId="705AE1AF" w14:textId="77777777" w:rsidR="000C62B0" w:rsidRPr="000C62B0" w:rsidRDefault="000C62B0" w:rsidP="000C62B0">
      <w:pPr>
        <w:jc w:val="both"/>
      </w:pPr>
      <w:r w:rsidRPr="000C62B0">
        <w:t>Además, las divulgaciones son inconsistentes entre las empresas (no existen definiciones o cálculos comunes que permitan comparaciones consistentes) y la mayoría de las divulgaciones son voluntarias, por lo que las empresas son libres de revisar o suspender dichos informes en cualquier momento. Al mismo tiempo, hay una falta de incentivos para que las empresas, actuando solas o colectivamente, proporcionen información precisa, estandarizada y relevante para la toma de decisiones sobre sus empresas y los compromisos que desempeñan.</w:t>
      </w:r>
    </w:p>
    <w:p w14:paraId="6990DE46" w14:textId="77777777" w:rsidR="000C62B0" w:rsidRPr="000C62B0" w:rsidRDefault="000C62B0" w:rsidP="000C62B0">
      <w:pPr>
        <w:jc w:val="both"/>
        <w:rPr>
          <w:b/>
          <w:bCs/>
        </w:rPr>
      </w:pPr>
      <w:r w:rsidRPr="000C62B0">
        <w:rPr>
          <w:b/>
          <w:bCs/>
        </w:rPr>
        <w:t>Estudio de la PCAOB sobre métricas de empresas y compromiso</w:t>
      </w:r>
    </w:p>
    <w:p w14:paraId="75AC0C40" w14:textId="1AE79756" w:rsidR="000C62B0" w:rsidRPr="000C62B0" w:rsidRDefault="000C62B0" w:rsidP="000C62B0">
      <w:pPr>
        <w:jc w:val="both"/>
      </w:pPr>
      <w:r w:rsidRPr="000C62B0">
        <w:t>A lo largo de los años, la Junta ha estudiado y explorado formas de medir el desempeño de la firma de auditoría y del encargo. La propuesta de hoy se desarrolló después de considerar aportes de numerosas fuentes, incluidas las</w:t>
      </w:r>
      <w:r w:rsidR="003B0508">
        <w:t xml:space="preserve"> </w:t>
      </w:r>
      <w:hyperlink r:id="rId16" w:history="1">
        <w:r w:rsidRPr="000C62B0">
          <w:rPr>
            <w:rStyle w:val="Hipervnculo"/>
            <w:b/>
            <w:bCs/>
          </w:rPr>
          <w:t>recomendaciones</w:t>
        </w:r>
      </w:hyperlink>
      <w:r w:rsidR="003B0508">
        <w:t xml:space="preserve"> </w:t>
      </w:r>
      <w:r w:rsidRPr="000C62B0">
        <w:t>de 2008 del Comité Asesor sobre la Profesión de Auditoría del Departamento del Tesoro de EE.UU.,</w:t>
      </w:r>
      <w:r w:rsidR="003B0508">
        <w:t xml:space="preserve"> </w:t>
      </w:r>
      <w:hyperlink r:id="rId17" w:history="1">
        <w:r w:rsidRPr="000C62B0">
          <w:rPr>
            <w:rStyle w:val="Hipervnculo"/>
            <w:b/>
            <w:bCs/>
          </w:rPr>
          <w:t>la publicación conceptual de 2015 de la PCAOB sobre indicadores de calidad de auditoría</w:t>
        </w:r>
      </w:hyperlink>
      <w:r w:rsidRPr="000C62B0">
        <w:t>, las prácticas voluntarias de las empresas, las recomendaciones de la Asesoría para Inversores de la PCAOB Group y el Grupo Asesor de Normas y Cuestiones Emergentes, la información recopilada por nuestras inspecciones de empresas y las iniciativas de los reguladores internacionales.</w:t>
      </w:r>
    </w:p>
    <w:p w14:paraId="645EF7DF" w14:textId="77777777" w:rsidR="000C62B0" w:rsidRPr="000C62B0" w:rsidRDefault="000C62B0" w:rsidP="000C62B0">
      <w:pPr>
        <w:jc w:val="both"/>
      </w:pPr>
      <w:r w:rsidRPr="000C62B0">
        <w:t>Con base en estos aportes, la propuesta busca lograr un equilibrio apropiado entre los beneficios esperados de los nuevos requisitos de presentación de informes y los costos asociados de implementación y cumplimiento.</w:t>
      </w:r>
    </w:p>
    <w:p w14:paraId="2A581355" w14:textId="77777777" w:rsidR="000C62B0" w:rsidRPr="000C62B0" w:rsidRDefault="000C62B0" w:rsidP="000C62B0">
      <w:pPr>
        <w:jc w:val="both"/>
        <w:rPr>
          <w:b/>
          <w:bCs/>
        </w:rPr>
      </w:pPr>
      <w:r w:rsidRPr="000C62B0">
        <w:rPr>
          <w:b/>
          <w:bCs/>
        </w:rPr>
        <w:t>La propuesta de informes de empresas modernizaría el marco de la PCAOB para recopilar información de empresas de auditoría</w:t>
      </w:r>
    </w:p>
    <w:p w14:paraId="0FEA7E3F" w14:textId="41A57ED5" w:rsidR="000C62B0" w:rsidRPr="000C62B0" w:rsidRDefault="003B0508" w:rsidP="000C62B0">
      <w:pPr>
        <w:jc w:val="both"/>
      </w:pPr>
      <w:hyperlink r:id="rId18" w:history="1">
        <w:r w:rsidR="000C62B0" w:rsidRPr="000C62B0">
          <w:rPr>
            <w:rStyle w:val="Hipervnculo"/>
            <w:b/>
            <w:bCs/>
          </w:rPr>
          <w:t>La propuesta de informe firme</w:t>
        </w:r>
      </w:hyperlink>
      <w:r w:rsidR="000C62B0">
        <w:t xml:space="preserve"> </w:t>
      </w:r>
      <w:r w:rsidR="000C62B0" w:rsidRPr="000C62B0">
        <w:t>de hoy</w:t>
      </w:r>
      <w:r>
        <w:t xml:space="preserve"> </w:t>
      </w:r>
      <w:hyperlink r:id="rId19" w:history="1">
        <w:r w:rsidR="000C62B0" w:rsidRPr="000C62B0">
          <w:rPr>
            <w:rStyle w:val="Hipervnculo"/>
            <w:b/>
            <w:bCs/>
          </w:rPr>
          <w:t>(PDF)</w:t>
        </w:r>
      </w:hyperlink>
      <w:r w:rsidR="000C62B0">
        <w:t xml:space="preserve"> </w:t>
      </w:r>
      <w:r w:rsidR="000C62B0" w:rsidRPr="000C62B0">
        <w:t xml:space="preserve">Si se adopta, modificaría los requisitos de informes anuales y especiales de la PCAOB para facilitar la divulgación de información más completa, estandarizada y oportuna por parte de las firmas de contadores públicos registradas. Como es la </w:t>
      </w:r>
      <w:r w:rsidR="000C62B0" w:rsidRPr="000C62B0">
        <w:lastRenderedPageBreak/>
        <w:t>práctica actual, mucha información se divulgaría públicamente y parte estaría disponible para la PCAOB sólo para su supervisión.</w:t>
      </w:r>
    </w:p>
    <w:p w14:paraId="31F9EC9D" w14:textId="77777777" w:rsidR="000C62B0" w:rsidRPr="000C62B0" w:rsidRDefault="000C62B0" w:rsidP="000C62B0">
      <w:pPr>
        <w:jc w:val="both"/>
        <w:rPr>
          <w:b/>
          <w:bCs/>
        </w:rPr>
      </w:pPr>
      <w:r w:rsidRPr="000C62B0">
        <w:rPr>
          <w:b/>
          <w:bCs/>
        </w:rPr>
        <w:t>Áreas clave abordadas por la propuesta de informes firmes</w:t>
      </w:r>
    </w:p>
    <w:p w14:paraId="5BF6FF93" w14:textId="592DBDFC" w:rsidR="000C62B0" w:rsidRPr="000C62B0" w:rsidRDefault="000C62B0" w:rsidP="000C62B0">
      <w:pPr>
        <w:jc w:val="both"/>
      </w:pPr>
      <w:r w:rsidRPr="000C62B0">
        <w:t>La Junta propone mejorar la presentación de información requerida por parte de las empresas registradas en el</w:t>
      </w:r>
      <w:r w:rsidR="003B0508">
        <w:t xml:space="preserve"> </w:t>
      </w:r>
      <w:hyperlink r:id="rId20" w:history="1">
        <w:r w:rsidRPr="000C62B0">
          <w:rPr>
            <w:rStyle w:val="Hipervnculo"/>
            <w:b/>
            <w:bCs/>
          </w:rPr>
          <w:t xml:space="preserve">Formulario de informe </w:t>
        </w:r>
        <w:proofErr w:type="spellStart"/>
        <w:r w:rsidRPr="000C62B0">
          <w:rPr>
            <w:rStyle w:val="Hipervnculo"/>
            <w:b/>
            <w:bCs/>
          </w:rPr>
          <w:t>anual</w:t>
        </w:r>
      </w:hyperlink>
      <w:r w:rsidRPr="000C62B0">
        <w:t>público</w:t>
      </w:r>
      <w:proofErr w:type="spellEnd"/>
      <w:r w:rsidRPr="000C62B0">
        <w:t xml:space="preserve"> de la PCAOB , también conocido como Formulario 2, y el</w:t>
      </w:r>
      <w:r w:rsidR="003B0508">
        <w:t xml:space="preserve"> </w:t>
      </w:r>
      <w:hyperlink r:id="rId21" w:history="1">
        <w:r w:rsidRPr="000C62B0">
          <w:rPr>
            <w:rStyle w:val="Hipervnculo"/>
            <w:b/>
            <w:bCs/>
          </w:rPr>
          <w:t>Formulario de informe especial</w:t>
        </w:r>
      </w:hyperlink>
      <w:r w:rsidRPr="000C62B0">
        <w:t>, también conocido como Formulario 3, en varias áreas clave.</w:t>
      </w:r>
    </w:p>
    <w:p w14:paraId="2DB7A19D" w14:textId="2A390608" w:rsidR="000C62B0" w:rsidRPr="000C62B0" w:rsidRDefault="000C62B0" w:rsidP="000C62B0">
      <w:pPr>
        <w:numPr>
          <w:ilvl w:val="0"/>
          <w:numId w:val="1"/>
        </w:numPr>
        <w:jc w:val="both"/>
      </w:pPr>
      <w:r w:rsidRPr="000C62B0">
        <w:rPr>
          <w:b/>
          <w:bCs/>
        </w:rPr>
        <w:t>Información financiera</w:t>
      </w:r>
      <w:r w:rsidRPr="000C62B0">
        <w:t>: Según la propuesta, todas las empresas registradas informarían en el formulario público de informe anual información adicional sobre las tarifas. Las empresas registradas más grandes también estarían obligadas a presentar anualmente de forma confidencial estados financieros a la PCAOB.</w:t>
      </w:r>
    </w:p>
    <w:p w14:paraId="78BFDD7F" w14:textId="6E82C7D4" w:rsidR="000C62B0" w:rsidRPr="000C62B0" w:rsidRDefault="000C62B0" w:rsidP="000C62B0">
      <w:pPr>
        <w:numPr>
          <w:ilvl w:val="0"/>
          <w:numId w:val="1"/>
        </w:numPr>
        <w:jc w:val="both"/>
      </w:pPr>
      <w:r w:rsidRPr="000C62B0">
        <w:rPr>
          <w:b/>
          <w:bCs/>
        </w:rPr>
        <w:t>Información de gobernanza de la empresa de auditoría</w:t>
      </w:r>
      <w:r w:rsidRPr="000C62B0">
        <w:t>: La propuesta requeriría que todas las empresas registradas informen en el formulario de informe anual público información adicional sobre su liderazgo, estructura legal, propiedad y otra información de gobernanza, incluida información que regiría un cambio en la forma de la organización.</w:t>
      </w:r>
    </w:p>
    <w:p w14:paraId="73A14CB1" w14:textId="26217B8D" w:rsidR="000C62B0" w:rsidRPr="000C62B0" w:rsidRDefault="000C62B0" w:rsidP="000C62B0">
      <w:pPr>
        <w:numPr>
          <w:ilvl w:val="0"/>
          <w:numId w:val="1"/>
        </w:numPr>
        <w:jc w:val="both"/>
      </w:pPr>
      <w:r w:rsidRPr="000C62B0">
        <w:rPr>
          <w:b/>
          <w:bCs/>
        </w:rPr>
        <w:t>Información de la red</w:t>
      </w:r>
      <w:r w:rsidRPr="000C62B0">
        <w:t>: La propuesta requeriría en el Informe anual público de la empresa una descripción más detallada de cualquier acuerdo de red al que esté sujeta una empresa registrada, incluida la descripción de la estructura legal y de propiedad de la red, las obligaciones financieras relacionadas con la red y los acuerdos de intercambio de información. entre la red y la empresa registrada, y las juntas directivas de la red o las personas ante las cuales la empresa registrada es responsable.</w:t>
      </w:r>
    </w:p>
    <w:p w14:paraId="0E081060" w14:textId="6D8DA869" w:rsidR="000C62B0" w:rsidRPr="000C62B0" w:rsidRDefault="000C62B0" w:rsidP="000C62B0">
      <w:pPr>
        <w:numPr>
          <w:ilvl w:val="0"/>
          <w:numId w:val="1"/>
        </w:numPr>
        <w:jc w:val="both"/>
      </w:pPr>
      <w:r w:rsidRPr="000C62B0">
        <w:rPr>
          <w:b/>
          <w:bCs/>
        </w:rPr>
        <w:t>Informes especiales</w:t>
      </w:r>
      <w:r w:rsidRPr="000C62B0">
        <w:t>: La propuesta acortaría el plazo para todos los informes en el Formulario de informes especiales de 30 días a 14 días (o más rápidamente según se justifique) e implementaría un nuevo requisito de informes especiales confidenciales para eventos importantes para la organización, operaciones, liquidez o recurso financiero o prestación de servicios de auditoría. Ejemplos de eventos que deben ser reportados confidencialmente bajo el nuevo marco de Informes Especiales incluyen (1) una determinación de que existen dudas sustanciales sobre la capacidad de la empresa para continuar como una empresa en funcionamiento; (2) una adquisición planificada o anticipada de la empresa, cambio de control o reestructuración, incluida la inversión externa y la adquisición o disposición planificada de activos o de una participación en una entidad asociada; o (3) celebrar o disponer de un acuerdo financiero importante que afectaría la liquidez o los recursos financieros de la empresa.</w:t>
      </w:r>
    </w:p>
    <w:p w14:paraId="6668DFE8" w14:textId="7A55B286" w:rsidR="000C62B0" w:rsidRPr="000C62B0" w:rsidRDefault="000C62B0" w:rsidP="000C62B0">
      <w:pPr>
        <w:numPr>
          <w:ilvl w:val="0"/>
          <w:numId w:val="1"/>
        </w:numPr>
        <w:jc w:val="both"/>
      </w:pPr>
      <w:r w:rsidRPr="000C62B0">
        <w:rPr>
          <w:b/>
          <w:bCs/>
        </w:rPr>
        <w:t>Ciberseguridad</w:t>
      </w:r>
      <w:r w:rsidRPr="000C62B0">
        <w:t xml:space="preserve">: La propuesta requeriría informes confidenciales en el Formulario de Informe Especial de eventos importantes de ciberseguridad dentro de cinco días hábiles </w:t>
      </w:r>
      <w:proofErr w:type="spellStart"/>
      <w:r w:rsidRPr="000C62B0">
        <w:t>y</w:t>
      </w:r>
      <w:proofErr w:type="spellEnd"/>
      <w:r w:rsidRPr="000C62B0">
        <w:t xml:space="preserve"> informes públicos periódicos de una breve descripción de las políticas y procedimientos de la empresa, si los hubiera, para identificar y gestionar los riesgos de ciberseguridad.</w:t>
      </w:r>
    </w:p>
    <w:p w14:paraId="6062A77D" w14:textId="008FC266" w:rsidR="000C62B0" w:rsidRPr="000C62B0" w:rsidRDefault="000C62B0" w:rsidP="000C62B0">
      <w:pPr>
        <w:jc w:val="both"/>
      </w:pPr>
      <w:r w:rsidRPr="000C62B0">
        <w:t>Por otra parte, la propuesta incluye enmiendas para facilitar una disposición bajo la propuesta QC 1000 que requeriría que las empresas informen sobre sus políticas y procedimientos de control de calidad revisados si se adoptara el QC 1000.</w:t>
      </w:r>
    </w:p>
    <w:p w14:paraId="43C048F1" w14:textId="77777777" w:rsidR="000C62B0" w:rsidRPr="000C62B0" w:rsidRDefault="000C62B0" w:rsidP="000C62B0">
      <w:pPr>
        <w:jc w:val="both"/>
        <w:rPr>
          <w:b/>
          <w:bCs/>
        </w:rPr>
      </w:pPr>
      <w:r w:rsidRPr="000C62B0">
        <w:rPr>
          <w:b/>
          <w:bCs/>
        </w:rPr>
        <w:lastRenderedPageBreak/>
        <w:t>Por qué la PCAOB está emitiendo esta propuesta de informes firmes</w:t>
      </w:r>
    </w:p>
    <w:p w14:paraId="42BB19EC" w14:textId="77777777" w:rsidR="000C62B0" w:rsidRPr="000C62B0" w:rsidRDefault="000C62B0" w:rsidP="000C62B0">
      <w:pPr>
        <w:jc w:val="both"/>
      </w:pPr>
      <w:r w:rsidRPr="000C62B0">
        <w:t>El marco básico para los requisitos de presentación de informes anuales y especiales de la PCAOB no ha sido reevaluado sustancialmente desde su adopción en 2008. La Junta ha considerado la experiencia del personal de la PCAOB, los inversionistas y otros con el marco de presentación de informes actual. Basada en estas consideraciones, la propuesta busca actualizar y mejorar los requisitos de presentación de informes para facilitar una mayor divulgación pública que sería informativa y útil para los inversionistas, los comités de auditoría y otras partes interesadas.</w:t>
      </w:r>
    </w:p>
    <w:p w14:paraId="1EDE3A71" w14:textId="77777777" w:rsidR="000C62B0" w:rsidRPr="000C62B0" w:rsidRDefault="000C62B0" w:rsidP="000C62B0">
      <w:pPr>
        <w:jc w:val="both"/>
      </w:pPr>
      <w:r w:rsidRPr="000C62B0">
        <w:t>Los requisitos mejorados de presentación de informes también tienen el potencial de facilitar las funciones de supervisión de la PCAOB y su capacidad para proteger a los inversores.</w:t>
      </w:r>
    </w:p>
    <w:p w14:paraId="4E74D45F" w14:textId="77777777" w:rsidR="000C62B0" w:rsidRPr="000C62B0" w:rsidRDefault="000C62B0" w:rsidP="000C62B0">
      <w:pPr>
        <w:jc w:val="both"/>
        <w:rPr>
          <w:b/>
          <w:bCs/>
        </w:rPr>
      </w:pPr>
      <w:r w:rsidRPr="000C62B0">
        <w:rPr>
          <w:b/>
          <w:bCs/>
        </w:rPr>
        <w:t>Comentarios sobre ambas propuestas solicitadas antes del 7 de junio de 2024</w:t>
      </w:r>
    </w:p>
    <w:p w14:paraId="730419C0" w14:textId="77777777" w:rsidR="000C62B0" w:rsidRPr="000C62B0" w:rsidRDefault="000C62B0" w:rsidP="000C62B0">
      <w:pPr>
        <w:jc w:val="both"/>
      </w:pPr>
      <w:r w:rsidRPr="000C62B0">
        <w:t>A lo largo de ambas propuestas, la Junta solicita comentarios sobre aspectos específicos de las modificaciones propuestas. Se anima a los lectores a responder estas preguntas, comentar cualquier aspecto de la propuesta y proporcionar razonamientos y datos relevantes que respalden sus puntos de vista.</w:t>
      </w:r>
    </w:p>
    <w:p w14:paraId="7F5CC166" w14:textId="4E8EA1C3" w:rsidR="000C62B0" w:rsidRPr="000C62B0" w:rsidRDefault="000C62B0" w:rsidP="000C62B0">
      <w:pPr>
        <w:jc w:val="both"/>
      </w:pPr>
      <w:r w:rsidRPr="000C62B0">
        <w:t>El público puede obtener más información sobre</w:t>
      </w:r>
      <w:r w:rsidR="003B0508">
        <w:t xml:space="preserve"> </w:t>
      </w:r>
      <w:hyperlink r:id="rId22" w:history="1">
        <w:r w:rsidRPr="000C62B0">
          <w:rPr>
            <w:rStyle w:val="Hipervnculo"/>
            <w:b/>
            <w:bCs/>
          </w:rPr>
          <w:t>cómo enviar comentarios sobre las propuestas de la PCAOB</w:t>
        </w:r>
      </w:hyperlink>
      <w:r w:rsidR="003B0508">
        <w:t xml:space="preserve"> </w:t>
      </w:r>
      <w:r w:rsidRPr="000C62B0">
        <w:t>y los</w:t>
      </w:r>
      <w:r w:rsidR="003B0508">
        <w:t xml:space="preserve"> </w:t>
      </w:r>
      <w:hyperlink r:id="rId23" w:history="1">
        <w:r w:rsidRPr="000C62B0">
          <w:rPr>
            <w:rStyle w:val="Hipervnculo"/>
            <w:b/>
            <w:bCs/>
          </w:rPr>
          <w:t>proyectos de establecimiento de estándares, investigación y reglamentación</w:t>
        </w:r>
      </w:hyperlink>
      <w:r w:rsidR="003B0508">
        <w:t xml:space="preserve"> </w:t>
      </w:r>
      <w:r w:rsidRPr="000C62B0">
        <w:t>de la PCAOB en el sitio web de la PCAOB.</w:t>
      </w:r>
    </w:p>
    <w:p w14:paraId="24746091" w14:textId="77777777" w:rsidR="000C62B0" w:rsidRPr="000C62B0" w:rsidRDefault="000C62B0" w:rsidP="000C62B0">
      <w:r w:rsidRPr="000C62B0">
        <w:t>*****</w:t>
      </w:r>
    </w:p>
    <w:p w14:paraId="1FA94D8E" w14:textId="77777777" w:rsidR="000C62B0" w:rsidRPr="000C62B0" w:rsidRDefault="000C62B0" w:rsidP="000C62B0">
      <w:pPr>
        <w:jc w:val="both"/>
        <w:rPr>
          <w:b/>
          <w:bCs/>
        </w:rPr>
      </w:pPr>
      <w:r w:rsidRPr="000C62B0">
        <w:rPr>
          <w:b/>
          <w:bCs/>
        </w:rPr>
        <w:t>Acerca de la PCAOB</w:t>
      </w:r>
    </w:p>
    <w:p w14:paraId="3D1100E0" w14:textId="77777777" w:rsidR="000C62B0" w:rsidRPr="000C62B0" w:rsidRDefault="000C62B0" w:rsidP="000C62B0">
      <w:pPr>
        <w:jc w:val="both"/>
      </w:pPr>
      <w:r w:rsidRPr="000C62B0">
        <w:t>La PCAOB es una corporación sin fines de lucro establecida por el Congreso para supervisar las auditorías de empresas públicas con el fin de proteger a los inversores y promover el interés público en la preparación de informes de auditoría informativos, precisos e independientes. La PCAOB también supervisa las auditorías de los corredores y distribuidores registrados en la Comisión de Bolsa y Valores, incluidos los informes de cumplimiento presentados de conformidad con las leyes federales de valores.</w:t>
      </w:r>
    </w:p>
    <w:p w14:paraId="505B655E" w14:textId="77777777" w:rsidR="000C62B0" w:rsidRPr="000C62B0" w:rsidRDefault="000C62B0" w:rsidP="000C62B0">
      <w:pPr>
        <w:jc w:val="both"/>
        <w:rPr>
          <w:b/>
          <w:bCs/>
        </w:rPr>
      </w:pPr>
      <w:r w:rsidRPr="000C62B0">
        <w:rPr>
          <w:b/>
          <w:bCs/>
        </w:rPr>
        <w:t>Contacto</w:t>
      </w:r>
    </w:p>
    <w:p w14:paraId="5D4CB8BD" w14:textId="69B4082A" w:rsidR="000C62B0" w:rsidRPr="000C62B0" w:rsidRDefault="000C62B0" w:rsidP="000C62B0">
      <w:pPr>
        <w:jc w:val="both"/>
      </w:pPr>
      <w:r w:rsidRPr="000C62B0">
        <w:t>Oficina de Comunicaciones y Participación de PCAOB</w:t>
      </w:r>
      <w:r>
        <w:t xml:space="preserve"> </w:t>
      </w:r>
      <w:hyperlink r:id="rId24" w:history="1">
        <w:r w:rsidRPr="000C62B0">
          <w:rPr>
            <w:rStyle w:val="Hipervnculo"/>
            <w:b/>
            <w:bCs/>
          </w:rPr>
          <w:t>Media@pcaobus.org</w:t>
        </w:r>
        <w:r w:rsidRPr="00C95886">
          <w:rPr>
            <w:rStyle w:val="Hipervnculo"/>
            <w:b/>
            <w:bCs/>
          </w:rPr>
          <w:t xml:space="preserve"> </w:t>
        </w:r>
      </w:hyperlink>
    </w:p>
    <w:p w14:paraId="63581295" w14:textId="77777777" w:rsidR="000C62B0" w:rsidRPr="000C62B0" w:rsidRDefault="003B0508" w:rsidP="000C62B0">
      <w:pPr>
        <w:jc w:val="both"/>
      </w:pPr>
      <w:hyperlink r:id="rId25" w:history="1">
        <w:r w:rsidR="000C62B0" w:rsidRPr="000C62B0">
          <w:rPr>
            <w:rStyle w:val="Hipervnculo"/>
          </w:rPr>
          <w:t>Detalles del evento</w:t>
        </w:r>
      </w:hyperlink>
    </w:p>
    <w:p w14:paraId="44CDDBDC" w14:textId="77777777" w:rsidR="000C62B0" w:rsidRPr="000C62B0" w:rsidRDefault="003B0508" w:rsidP="000C62B0">
      <w:pPr>
        <w:jc w:val="both"/>
      </w:pPr>
      <w:hyperlink r:id="rId26" w:history="1">
        <w:r w:rsidR="000C62B0" w:rsidRPr="000C62B0">
          <w:rPr>
            <w:rStyle w:val="Hipervnculo"/>
          </w:rPr>
          <w:t>Página del proyecto: Métricas de empresa y compromiso</w:t>
        </w:r>
      </w:hyperlink>
    </w:p>
    <w:p w14:paraId="287858D2" w14:textId="77777777" w:rsidR="000C62B0" w:rsidRPr="000C62B0" w:rsidRDefault="000C62B0" w:rsidP="000C62B0">
      <w:pPr>
        <w:jc w:val="both"/>
        <w:rPr>
          <w:b/>
          <w:bCs/>
        </w:rPr>
      </w:pPr>
      <w:r w:rsidRPr="000C62B0">
        <w:rPr>
          <w:b/>
          <w:bCs/>
        </w:rPr>
        <w:t>Temas relacionados</w:t>
      </w:r>
    </w:p>
    <w:p w14:paraId="2BF43839" w14:textId="77777777" w:rsidR="000C62B0" w:rsidRPr="000C62B0" w:rsidRDefault="003B0508" w:rsidP="000C62B0">
      <w:pPr>
        <w:numPr>
          <w:ilvl w:val="0"/>
          <w:numId w:val="2"/>
        </w:numPr>
        <w:jc w:val="both"/>
      </w:pPr>
      <w:hyperlink r:id="rId27" w:history="1">
        <w:r w:rsidR="000C62B0" w:rsidRPr="000C62B0">
          <w:rPr>
            <w:rStyle w:val="Hipervnculo"/>
            <w:b/>
            <w:bCs/>
          </w:rPr>
          <w:t>Estándares</w:t>
        </w:r>
      </w:hyperlink>
    </w:p>
    <w:p w14:paraId="2D842364" w14:textId="2167204C" w:rsidR="000C62B0" w:rsidRDefault="000C62B0" w:rsidP="000C62B0">
      <w:pPr>
        <w:jc w:val="both"/>
      </w:pPr>
      <w:r w:rsidRPr="000C62B0">
        <w:rPr>
          <w:noProof/>
        </w:rPr>
        <w:lastRenderedPageBreak/>
        <w:drawing>
          <wp:inline distT="0" distB="0" distL="0" distR="0" wp14:anchorId="0C4ED715" wp14:editId="6448DC38">
            <wp:extent cx="5612130" cy="30810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081020"/>
                    </a:xfrm>
                    <a:prstGeom prst="rect">
                      <a:avLst/>
                    </a:prstGeom>
                  </pic:spPr>
                </pic:pic>
              </a:graphicData>
            </a:graphic>
          </wp:inline>
        </w:drawing>
      </w:r>
    </w:p>
    <w:p w14:paraId="19D70A54" w14:textId="77777777" w:rsidR="000C62B0" w:rsidRDefault="000C62B0" w:rsidP="000C62B0">
      <w:pPr>
        <w:jc w:val="both"/>
      </w:pPr>
    </w:p>
    <w:sectPr w:rsidR="000C6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0106E"/>
    <w:multiLevelType w:val="multilevel"/>
    <w:tmpl w:val="159A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F059B"/>
    <w:multiLevelType w:val="multilevel"/>
    <w:tmpl w:val="708A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B0"/>
    <w:rsid w:val="000C62B0"/>
    <w:rsid w:val="003B0508"/>
    <w:rsid w:val="00B917FB"/>
    <w:rsid w:val="00F212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546C"/>
  <w15:chartTrackingRefBased/>
  <w15:docId w15:val="{4DD2178A-4C59-41A9-AC43-96E22B1A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62B0"/>
    <w:rPr>
      <w:color w:val="0563C1" w:themeColor="hyperlink"/>
      <w:u w:val="single"/>
    </w:rPr>
  </w:style>
  <w:style w:type="character" w:styleId="Mencinsinresolver">
    <w:name w:val="Unresolved Mention"/>
    <w:basedOn w:val="Fuentedeprrafopredeter"/>
    <w:uiPriority w:val="99"/>
    <w:semiHidden/>
    <w:unhideWhenUsed/>
    <w:rsid w:val="000C62B0"/>
    <w:rPr>
      <w:color w:val="605E5C"/>
      <w:shd w:val="clear" w:color="auto" w:fill="E1DFDD"/>
    </w:rPr>
  </w:style>
  <w:style w:type="character" w:styleId="Hipervnculovisitado">
    <w:name w:val="FollowedHyperlink"/>
    <w:basedOn w:val="Fuentedeprrafopredeter"/>
    <w:uiPriority w:val="99"/>
    <w:semiHidden/>
    <w:unhideWhenUsed/>
    <w:rsid w:val="000C6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8908">
      <w:bodyDiv w:val="1"/>
      <w:marLeft w:val="0"/>
      <w:marRight w:val="0"/>
      <w:marTop w:val="0"/>
      <w:marBottom w:val="0"/>
      <w:divBdr>
        <w:top w:val="none" w:sz="0" w:space="0" w:color="auto"/>
        <w:left w:val="none" w:sz="0" w:space="0" w:color="auto"/>
        <w:bottom w:val="none" w:sz="0" w:space="0" w:color="auto"/>
        <w:right w:val="none" w:sz="0" w:space="0" w:color="auto"/>
      </w:divBdr>
      <w:divsChild>
        <w:div w:id="1231311717">
          <w:marLeft w:val="0"/>
          <w:marRight w:val="0"/>
          <w:marTop w:val="0"/>
          <w:marBottom w:val="0"/>
          <w:divBdr>
            <w:top w:val="none" w:sz="0" w:space="0" w:color="auto"/>
            <w:left w:val="none" w:sz="0" w:space="0" w:color="auto"/>
            <w:bottom w:val="none" w:sz="0" w:space="0" w:color="auto"/>
            <w:right w:val="none" w:sz="0" w:space="0" w:color="auto"/>
          </w:divBdr>
        </w:div>
        <w:div w:id="1604264880">
          <w:marLeft w:val="0"/>
          <w:marRight w:val="0"/>
          <w:marTop w:val="300"/>
          <w:marBottom w:val="300"/>
          <w:divBdr>
            <w:top w:val="none" w:sz="0" w:space="0" w:color="auto"/>
            <w:left w:val="none" w:sz="0" w:space="0" w:color="auto"/>
            <w:bottom w:val="none" w:sz="0" w:space="0" w:color="auto"/>
            <w:right w:val="none" w:sz="0" w:space="0" w:color="auto"/>
          </w:divBdr>
        </w:div>
        <w:div w:id="1784616605">
          <w:marLeft w:val="0"/>
          <w:marRight w:val="0"/>
          <w:marTop w:val="600"/>
          <w:marBottom w:val="0"/>
          <w:divBdr>
            <w:top w:val="none" w:sz="0" w:space="0" w:color="auto"/>
            <w:left w:val="none" w:sz="0" w:space="0" w:color="auto"/>
            <w:bottom w:val="none" w:sz="0" w:space="0" w:color="auto"/>
            <w:right w:val="none" w:sz="0" w:space="0" w:color="auto"/>
          </w:divBdr>
          <w:divsChild>
            <w:div w:id="61263643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77568301">
      <w:bodyDiv w:val="1"/>
      <w:marLeft w:val="0"/>
      <w:marRight w:val="0"/>
      <w:marTop w:val="0"/>
      <w:marBottom w:val="0"/>
      <w:divBdr>
        <w:top w:val="none" w:sz="0" w:space="0" w:color="auto"/>
        <w:left w:val="none" w:sz="0" w:space="0" w:color="auto"/>
        <w:bottom w:val="none" w:sz="0" w:space="0" w:color="auto"/>
        <w:right w:val="none" w:sz="0" w:space="0" w:color="auto"/>
      </w:divBdr>
      <w:divsChild>
        <w:div w:id="887689979">
          <w:marLeft w:val="0"/>
          <w:marRight w:val="0"/>
          <w:marTop w:val="0"/>
          <w:marBottom w:val="0"/>
          <w:divBdr>
            <w:top w:val="none" w:sz="0" w:space="0" w:color="auto"/>
            <w:left w:val="none" w:sz="0" w:space="0" w:color="auto"/>
            <w:bottom w:val="none" w:sz="0" w:space="0" w:color="auto"/>
            <w:right w:val="none" w:sz="0" w:space="0" w:color="auto"/>
          </w:divBdr>
          <w:divsChild>
            <w:div w:id="1032921402">
              <w:marLeft w:val="0"/>
              <w:marRight w:val="0"/>
              <w:marTop w:val="0"/>
              <w:marBottom w:val="0"/>
              <w:divBdr>
                <w:top w:val="none" w:sz="0" w:space="0" w:color="auto"/>
                <w:left w:val="none" w:sz="0" w:space="0" w:color="auto"/>
                <w:bottom w:val="none" w:sz="0" w:space="0" w:color="auto"/>
                <w:right w:val="none" w:sz="0" w:space="0" w:color="auto"/>
              </w:divBdr>
              <w:divsChild>
                <w:div w:id="899481755">
                  <w:marLeft w:val="0"/>
                  <w:marRight w:val="0"/>
                  <w:marTop w:val="0"/>
                  <w:marBottom w:val="0"/>
                  <w:divBdr>
                    <w:top w:val="none" w:sz="0" w:space="0" w:color="auto"/>
                    <w:left w:val="none" w:sz="0" w:space="0" w:color="auto"/>
                    <w:bottom w:val="none" w:sz="0" w:space="0" w:color="auto"/>
                    <w:right w:val="none" w:sz="0" w:space="0" w:color="auto"/>
                  </w:divBdr>
                  <w:divsChild>
                    <w:div w:id="788470884">
                      <w:marLeft w:val="0"/>
                      <w:marRight w:val="0"/>
                      <w:marTop w:val="0"/>
                      <w:marBottom w:val="0"/>
                      <w:divBdr>
                        <w:top w:val="none" w:sz="0" w:space="0" w:color="auto"/>
                        <w:left w:val="none" w:sz="0" w:space="0" w:color="auto"/>
                        <w:bottom w:val="none" w:sz="0" w:space="0" w:color="auto"/>
                        <w:right w:val="none" w:sz="0" w:space="0" w:color="auto"/>
                      </w:divBdr>
                      <w:divsChild>
                        <w:div w:id="21901026">
                          <w:marLeft w:val="0"/>
                          <w:marRight w:val="0"/>
                          <w:marTop w:val="0"/>
                          <w:marBottom w:val="0"/>
                          <w:divBdr>
                            <w:top w:val="none" w:sz="0" w:space="0" w:color="auto"/>
                            <w:left w:val="none" w:sz="0" w:space="0" w:color="auto"/>
                            <w:bottom w:val="none" w:sz="0" w:space="0" w:color="auto"/>
                            <w:right w:val="none" w:sz="0" w:space="0" w:color="auto"/>
                          </w:divBdr>
                          <w:divsChild>
                            <w:div w:id="1581065348">
                              <w:marLeft w:val="0"/>
                              <w:marRight w:val="0"/>
                              <w:marTop w:val="0"/>
                              <w:marBottom w:val="0"/>
                              <w:divBdr>
                                <w:top w:val="none" w:sz="0" w:space="0" w:color="auto"/>
                                <w:left w:val="none" w:sz="0" w:space="0" w:color="auto"/>
                                <w:bottom w:val="none" w:sz="0" w:space="0" w:color="auto"/>
                                <w:right w:val="none" w:sz="0" w:space="0" w:color="auto"/>
                              </w:divBdr>
                              <w:divsChild>
                                <w:div w:id="1881699225">
                                  <w:marLeft w:val="0"/>
                                  <w:marRight w:val="0"/>
                                  <w:marTop w:val="0"/>
                                  <w:marBottom w:val="0"/>
                                  <w:divBdr>
                                    <w:top w:val="none" w:sz="0" w:space="0" w:color="auto"/>
                                    <w:left w:val="none" w:sz="0" w:space="0" w:color="auto"/>
                                    <w:bottom w:val="none" w:sz="0" w:space="0" w:color="auto"/>
                                    <w:right w:val="none" w:sz="0" w:space="0" w:color="auto"/>
                                  </w:divBdr>
                                  <w:divsChild>
                                    <w:div w:id="102699437">
                                      <w:marLeft w:val="0"/>
                                      <w:marRight w:val="0"/>
                                      <w:marTop w:val="0"/>
                                      <w:marBottom w:val="0"/>
                                      <w:divBdr>
                                        <w:top w:val="none" w:sz="0" w:space="0" w:color="auto"/>
                                        <w:left w:val="none" w:sz="0" w:space="0" w:color="auto"/>
                                        <w:bottom w:val="none" w:sz="0" w:space="0" w:color="auto"/>
                                        <w:right w:val="none" w:sz="0" w:space="0" w:color="auto"/>
                                      </w:divBdr>
                                    </w:div>
                                    <w:div w:id="971788870">
                                      <w:marLeft w:val="0"/>
                                      <w:marRight w:val="0"/>
                                      <w:marTop w:val="0"/>
                                      <w:marBottom w:val="0"/>
                                      <w:divBdr>
                                        <w:top w:val="none" w:sz="0" w:space="0" w:color="auto"/>
                                        <w:left w:val="none" w:sz="0" w:space="0" w:color="auto"/>
                                        <w:bottom w:val="none" w:sz="0" w:space="0" w:color="auto"/>
                                        <w:right w:val="none" w:sz="0" w:space="0" w:color="auto"/>
                                      </w:divBdr>
                                    </w:div>
                                    <w:div w:id="1888763012">
                                      <w:marLeft w:val="0"/>
                                      <w:marRight w:val="0"/>
                                      <w:marTop w:val="0"/>
                                      <w:marBottom w:val="0"/>
                                      <w:divBdr>
                                        <w:top w:val="none" w:sz="0" w:space="0" w:color="auto"/>
                                        <w:left w:val="none" w:sz="0" w:space="0" w:color="auto"/>
                                        <w:bottom w:val="none" w:sz="0" w:space="0" w:color="auto"/>
                                        <w:right w:val="none" w:sz="0" w:space="0" w:color="auto"/>
                                      </w:divBdr>
                                      <w:divsChild>
                                        <w:div w:id="702705713">
                                          <w:marLeft w:val="0"/>
                                          <w:marRight w:val="0"/>
                                          <w:marTop w:val="0"/>
                                          <w:marBottom w:val="0"/>
                                          <w:divBdr>
                                            <w:top w:val="none" w:sz="0" w:space="0" w:color="auto"/>
                                            <w:left w:val="none" w:sz="0" w:space="0" w:color="auto"/>
                                            <w:bottom w:val="none" w:sz="0" w:space="0" w:color="auto"/>
                                            <w:right w:val="none" w:sz="0" w:space="0" w:color="auto"/>
                                          </w:divBdr>
                                        </w:div>
                                        <w:div w:id="751657837">
                                          <w:marLeft w:val="0"/>
                                          <w:marRight w:val="0"/>
                                          <w:marTop w:val="0"/>
                                          <w:marBottom w:val="0"/>
                                          <w:divBdr>
                                            <w:top w:val="none" w:sz="0" w:space="0" w:color="auto"/>
                                            <w:left w:val="none" w:sz="0" w:space="0" w:color="auto"/>
                                            <w:bottom w:val="none" w:sz="0" w:space="0" w:color="auto"/>
                                            <w:right w:val="none" w:sz="0" w:space="0" w:color="auto"/>
                                          </w:divBdr>
                                        </w:div>
                                      </w:divsChild>
                                    </w:div>
                                    <w:div w:id="236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audit/" TargetMode="External"/><Relationship Id="rId13" Type="http://schemas.openxmlformats.org/officeDocument/2006/relationships/hyperlink" Target="https://assets.pcaobus.org/pcaob-dev/docs/default-source/rulemaking/docket-055/2024-003-firmreporting.pdf?sfvrsn=e63cff7c_2" TargetMode="External"/><Relationship Id="rId18" Type="http://schemas.openxmlformats.org/officeDocument/2006/relationships/hyperlink" Target="https://assets.pcaobus.org/pcaob-dev/docs/default-source/rulemaking/docket-055/2024-003-firmreporting.pdf?sfvrsn=e63cff7c_2" TargetMode="External"/><Relationship Id="rId26" Type="http://schemas.openxmlformats.org/officeDocument/2006/relationships/hyperlink" Target="https://pcaobus.org/oversight/standards/standard-setting-research-projects/firm-and-engagement-metrics" TargetMode="External"/><Relationship Id="rId3" Type="http://schemas.openxmlformats.org/officeDocument/2006/relationships/settings" Target="settings.xml"/><Relationship Id="rId21" Type="http://schemas.openxmlformats.org/officeDocument/2006/relationships/hyperlink" Target="https://pcaobus.org/about/rules-rulemaking/rules/form_3" TargetMode="External"/><Relationship Id="rId7" Type="http://schemas.openxmlformats.org/officeDocument/2006/relationships/hyperlink" Target="https://pcaobus.org/news-events/news-releases/news-release-detail/pcaob-issues-proposals-on-standardizing-disclosure-of-firm-and-engagement-metrics-and-modernizing-the-pcaob-s-reporting-framework" TargetMode="External"/><Relationship Id="rId12" Type="http://schemas.openxmlformats.org/officeDocument/2006/relationships/hyperlink" Target="https://assets.pcaobus.org/pcaob-dev/docs/default-source/rulemaking/docket_041/2024-002-firm-and-engagement-metrics.pdf?sfvrsn=f98148f_2" TargetMode="External"/><Relationship Id="rId17" Type="http://schemas.openxmlformats.org/officeDocument/2006/relationships/hyperlink" Target="https://pcaobus.org/about/rules-rulemaking/rulemaking-dockets/docket-041" TargetMode="External"/><Relationship Id="rId25" Type="http://schemas.openxmlformats.org/officeDocument/2006/relationships/hyperlink" Target="https://pcaobus.org/news-events/events/event-details/open-board-meeting---pcaob-to-consider-proposals-on-firm-and-engagement-metrics--firm-reporting" TargetMode="External"/><Relationship Id="rId2" Type="http://schemas.openxmlformats.org/officeDocument/2006/relationships/styles" Target="styles.xml"/><Relationship Id="rId16" Type="http://schemas.openxmlformats.org/officeDocument/2006/relationships/hyperlink" Target="https://home.treasury.gov/news/press-releases/hp1158" TargetMode="External"/><Relationship Id="rId20" Type="http://schemas.openxmlformats.org/officeDocument/2006/relationships/hyperlink" Target="https://pcaobus.org/about/rules-rulemaking/rules/form_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pcaob-proposes-greater-transparency-for-audit-firms/" TargetMode="External"/><Relationship Id="rId11" Type="http://schemas.openxmlformats.org/officeDocument/2006/relationships/image" Target="media/image2.png"/><Relationship Id="rId24" Type="http://schemas.openxmlformats.org/officeDocument/2006/relationships/hyperlink" Target="mailto:Media@pcaobus.org%20" TargetMode="External"/><Relationship Id="rId5" Type="http://schemas.openxmlformats.org/officeDocument/2006/relationships/image" Target="media/image1.png"/><Relationship Id="rId15" Type="http://schemas.openxmlformats.org/officeDocument/2006/relationships/hyperlink" Target="https://assets.pcaobus.org/pcaob-dev/docs/default-source/rulemaking/docket_041/2024-002-firm-and-engagement-metrics.pdf?sfvrsn=f98148f_2" TargetMode="External"/><Relationship Id="rId23" Type="http://schemas.openxmlformats.org/officeDocument/2006/relationships/hyperlink" Target="https://pcaobus.org/oversight/standards/standard-setting-research-projects/firm-and-engagement-metrics" TargetMode="External"/><Relationship Id="rId28" Type="http://schemas.openxmlformats.org/officeDocument/2006/relationships/image" Target="media/image3.png"/><Relationship Id="rId10" Type="http://schemas.openxmlformats.org/officeDocument/2006/relationships/hyperlink" Target="https://www.xbrl.org/tag/pcaob/" TargetMode="External"/><Relationship Id="rId19" Type="http://schemas.openxmlformats.org/officeDocument/2006/relationships/hyperlink" Target="https://assets.pcaobus.org/pcaob-dev/docs/default-source/rulemaking/docket-055/2024-003-firmreporting.pdf?sfvrsn=e63cff7c_2" TargetMode="External"/><Relationship Id="rId4" Type="http://schemas.openxmlformats.org/officeDocument/2006/relationships/webSettings" Target="webSettings.xml"/><Relationship Id="rId9" Type="http://schemas.openxmlformats.org/officeDocument/2006/relationships/hyperlink" Target="https://www.xbrl.org/tag/transparency/" TargetMode="External"/><Relationship Id="rId14" Type="http://schemas.openxmlformats.org/officeDocument/2006/relationships/hyperlink" Target="https://assets.pcaobus.org/pcaob-dev/docs/default-source/rulemaking/docket_041/2024-002-firm-and-engagement-metrics.pdf?sfvrsn=f98148f_2" TargetMode="External"/><Relationship Id="rId22" Type="http://schemas.openxmlformats.org/officeDocument/2006/relationships/hyperlink" Target="https://pcaobus.org/about/rules-rulemaking/rulemaking-dockets/open-for-public-comment" TargetMode="External"/><Relationship Id="rId27" Type="http://schemas.openxmlformats.org/officeDocument/2006/relationships/hyperlink" Target="https://pcaobus.org/search?topics=Standards"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2346</Words>
  <Characters>12905</Characters>
  <Application>Microsoft Office Word</Application>
  <DocSecurity>0</DocSecurity>
  <Lines>107</Lines>
  <Paragraphs>30</Paragraphs>
  <ScaleCrop>false</ScaleCrop>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2024-04-24T18:07:00Z</dcterms:created>
  <dcterms:modified xsi:type="dcterms:W3CDTF">2024-05-28T02:30:00Z</dcterms:modified>
</cp:coreProperties>
</file>