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A5F451" w14:textId="76677DC6" w:rsidR="003E3A3E" w:rsidRPr="003E3A3E" w:rsidRDefault="003E3A3E" w:rsidP="003E3A3E">
      <w:pPr>
        <w:jc w:val="both"/>
        <w:rPr>
          <w:rFonts w:ascii="Arial Nova Cond" w:hAnsi="Arial Nova Cond"/>
          <w:sz w:val="28"/>
          <w:szCs w:val="28"/>
        </w:rPr>
      </w:pPr>
      <w:r w:rsidRPr="003E3A3E">
        <w:rPr>
          <w:rFonts w:ascii="Arial Nova Cond" w:hAnsi="Arial Nova Cond"/>
          <w:sz w:val="28"/>
          <w:szCs w:val="28"/>
        </w:rPr>
        <w:t>China redacta divulgaciones de sostenibilidad corporativa</w:t>
      </w:r>
    </w:p>
    <w:p w14:paraId="739A9D24" w14:textId="16D7C231" w:rsidR="003E3A3E" w:rsidRPr="003E3A3E" w:rsidRDefault="003E3A3E" w:rsidP="003E3A3E">
      <w:pPr>
        <w:jc w:val="both"/>
      </w:pPr>
      <w:r w:rsidRPr="003E3A3E">
        <w:rPr>
          <w:noProof/>
        </w:rPr>
        <w:drawing>
          <wp:inline distT="0" distB="0" distL="0" distR="0" wp14:anchorId="4F747B2B" wp14:editId="7595001B">
            <wp:extent cx="1402080" cy="1402080"/>
            <wp:effectExtent l="0" t="0" r="7620" b="7620"/>
            <wp:docPr id="5" name="Imagen 5" descr="espacio en blan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espacio en blanco"/>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402080" cy="1402080"/>
                    </a:xfrm>
                    <a:prstGeom prst="rect">
                      <a:avLst/>
                    </a:prstGeom>
                    <a:noFill/>
                    <a:ln>
                      <a:noFill/>
                    </a:ln>
                  </pic:spPr>
                </pic:pic>
              </a:graphicData>
            </a:graphic>
          </wp:inline>
        </w:drawing>
      </w:r>
    </w:p>
    <w:p w14:paraId="0D8B667E" w14:textId="48ECF8E4" w:rsidR="003E3A3E" w:rsidRPr="003E3A3E" w:rsidRDefault="003E3A3E" w:rsidP="003E3A3E">
      <w:pPr>
        <w:jc w:val="both"/>
      </w:pPr>
      <w:r w:rsidRPr="003E3A3E">
        <w:t>Por</w:t>
      </w:r>
      <w:r>
        <w:t xml:space="preserve">: </w:t>
      </w:r>
      <w:hyperlink r:id="rId5" w:tooltip="Posts by Alice Tchernookova" w:history="1">
        <w:r w:rsidRPr="003E3A3E">
          <w:rPr>
            <w:rStyle w:val="Hipervnculo"/>
          </w:rPr>
          <w:t>Alice Tchernookova</w:t>
        </w:r>
      </w:hyperlink>
    </w:p>
    <w:p w14:paraId="4BD926A5" w14:textId="77777777" w:rsidR="003E3A3E" w:rsidRPr="003E3A3E" w:rsidRDefault="003E3A3E" w:rsidP="003E3A3E">
      <w:pPr>
        <w:jc w:val="both"/>
      </w:pPr>
      <w:r w:rsidRPr="003E3A3E">
        <w:t>29 de mayo de 2024</w:t>
      </w:r>
    </w:p>
    <w:p w14:paraId="64AC77CF" w14:textId="20A31B78" w:rsidR="003E3A3E" w:rsidRPr="003E3A3E" w:rsidRDefault="003E3A3E" w:rsidP="003E3A3E">
      <w:pPr>
        <w:jc w:val="both"/>
      </w:pPr>
      <w:r w:rsidRPr="003E3A3E">
        <w:t>El Ministerio de Finanzas de China está recopilando comentarios sobre los</w:t>
      </w:r>
      <w:r>
        <w:t xml:space="preserve"> </w:t>
      </w:r>
      <w:hyperlink r:id="rId6" w:anchor=":~:text=The%20draft%20guideline%2C%20named%20%22Corporate,required%20to%20disclose%20such%20information" w:history="1">
        <w:r w:rsidRPr="003E3A3E">
          <w:rPr>
            <w:rStyle w:val="Hipervnculo"/>
            <w:b/>
            <w:bCs/>
          </w:rPr>
          <w:t>borradores de divulgaciones de sostenibilidad corporativa,</w:t>
        </w:r>
      </w:hyperlink>
      <w:r>
        <w:t xml:space="preserve"> </w:t>
      </w:r>
      <w:r w:rsidRPr="003E3A3E">
        <w:t>con miras a establecer un estándar nacional para 2030. Actualmente, las divulgaciones de las empresas chinas son en gran medida voluntarias y carecen de consistencia, dijo el ministerio. Las normas unificadas ayudarían a las empresas a participar mejor en las actividades mundiales de comercio e inversión, mejorando su competitividad internacional y apoyando la estrategia institucional de "apertura" del país. El proyecto de normas, que se aplicaría a las empresas establecidas en China, establecía requisitos generales en seis capítulos y 33 artículos, que abarcaban disposiciones generales, objetivos y principios de divulgación, requisitos de calidad de la información, elementos de divulgación, otros requisitos de divulgación y disposiciones complementarias. El ministerio está aceptando comentarios hasta el 24 de junio. "Teniendo en cuenta la etapa de desarrollo y las capacidades de divulgación de las empresas chinas, la implementación de los estándares básicos no adoptará un enfoque obligatorio único para todos", dijo. "En su lugar, pretende extenderse gradualmente de las empresas que cotizan en bolsa a las empresas que no cotizan en bolsa y de las divulgaciones voluntarias a las obligatorias". China espera haber introducido normas básicas de divulgación de sostenibilidad corporativa y normas de divulgación relacionadas con el clima para 2027. "Dado el largo plazo de desarrollo de las normas, los departamentos pertinentes pueden formular directrices y sistemas regulatorios para industrias o campos específicos según sea necesario, con planes para ajustarlos y mejorarlos con el tiempo", agregó el ministerio. En abril, las</w:t>
      </w:r>
      <w:r>
        <w:t xml:space="preserve"> </w:t>
      </w:r>
      <w:hyperlink r:id="rId7" w:history="1">
        <w:r w:rsidRPr="003E3A3E">
          <w:rPr>
            <w:rStyle w:val="Hipervnculo"/>
            <w:b/>
            <w:bCs/>
          </w:rPr>
          <w:t>bolsas de valores de Shanghái, Shenzhen y Pekín</w:t>
        </w:r>
      </w:hyperlink>
      <w:r>
        <w:t xml:space="preserve"> </w:t>
      </w:r>
      <w:r w:rsidRPr="003E3A3E">
        <w:t>publicaron directrices para los informes de desarrollo sostenible de las empresas que cotizan en bolsa, lo que supone la primera norma exhaustiva para la divulgación de información sobre sostenibilidad corporativa en China. Además, el banco central y siete departamentos gubernamentales emitieron conjuntamente una guía que incluía explícitamente los criterios ESG en las evaluaciones crediticias por primera vez. Entre 2019 y 2023, el número de fondos ESG en China creció de 16 a 135, mientras que los índices bursátiles ESG aumentaron de 66 a 370.</w:t>
      </w:r>
    </w:p>
    <w:p w14:paraId="477D214E" w14:textId="0CAA4C0D" w:rsidR="003E3A3E" w:rsidRPr="003E3A3E" w:rsidRDefault="003E3A3E" w:rsidP="003E3A3E">
      <w:pPr>
        <w:jc w:val="both"/>
      </w:pPr>
    </w:p>
    <w:p w14:paraId="15D4F15E" w14:textId="49393AB4" w:rsidR="00E15DD0" w:rsidRDefault="00E15DD0" w:rsidP="003E3A3E">
      <w:pPr>
        <w:jc w:val="both"/>
      </w:pPr>
    </w:p>
    <w:p w14:paraId="338DE156" w14:textId="1D990168" w:rsidR="003E3A3E" w:rsidRDefault="003E3A3E"/>
    <w:p w14:paraId="11D7BDA3" w14:textId="77777777" w:rsidR="00E772C2" w:rsidRDefault="00E772C2"/>
    <w:p w14:paraId="548BC3FB" w14:textId="77777777" w:rsidR="003E3A3E" w:rsidRPr="003E3A3E" w:rsidRDefault="003E3A3E" w:rsidP="003E3A3E">
      <w:pPr>
        <w:rPr>
          <w:rFonts w:ascii="Arial Nova Cond" w:hAnsi="Arial Nova Cond"/>
          <w:sz w:val="24"/>
          <w:szCs w:val="24"/>
        </w:rPr>
      </w:pPr>
      <w:r w:rsidRPr="003E3A3E">
        <w:rPr>
          <w:rFonts w:ascii="Arial Nova Cond" w:hAnsi="Arial Nova Cond"/>
          <w:sz w:val="24"/>
          <w:szCs w:val="24"/>
        </w:rPr>
        <w:lastRenderedPageBreak/>
        <w:t>China publica directrices para la elaboración de informes de sostenibilidad</w:t>
      </w:r>
    </w:p>
    <w:p w14:paraId="10EA5991" w14:textId="55D4FED1" w:rsidR="003E3A3E" w:rsidRPr="003E3A3E" w:rsidRDefault="003E3A3E" w:rsidP="003E3A3E">
      <w:r w:rsidRPr="003E3A3E">
        <w:rPr>
          <w:noProof/>
        </w:rPr>
        <w:drawing>
          <wp:inline distT="0" distB="0" distL="0" distR="0" wp14:anchorId="2C51ADF8" wp14:editId="268744B4">
            <wp:extent cx="1203960" cy="1203960"/>
            <wp:effectExtent l="0" t="0" r="0" b="0"/>
            <wp:docPr id="3" name="Imagen 3" descr="espacio en blan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spacio en blanc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03960" cy="1203960"/>
                    </a:xfrm>
                    <a:prstGeom prst="rect">
                      <a:avLst/>
                    </a:prstGeom>
                    <a:noFill/>
                    <a:ln>
                      <a:noFill/>
                    </a:ln>
                  </pic:spPr>
                </pic:pic>
              </a:graphicData>
            </a:graphic>
          </wp:inline>
        </w:drawing>
      </w:r>
    </w:p>
    <w:p w14:paraId="097AB9F0" w14:textId="7A3BA2F3" w:rsidR="003E3A3E" w:rsidRPr="003E3A3E" w:rsidRDefault="003E3A3E" w:rsidP="003E3A3E">
      <w:r w:rsidRPr="003E3A3E">
        <w:t>Por</w:t>
      </w:r>
      <w:r>
        <w:t xml:space="preserve">: </w:t>
      </w:r>
      <w:hyperlink r:id="rId9" w:tooltip="Posts by Regulation Asia" w:history="1">
        <w:r w:rsidRPr="003E3A3E">
          <w:rPr>
            <w:rStyle w:val="Hipervnculo"/>
          </w:rPr>
          <w:t>Regulación Asia</w:t>
        </w:r>
      </w:hyperlink>
    </w:p>
    <w:p w14:paraId="4A8FB0F1" w14:textId="77777777" w:rsidR="003E3A3E" w:rsidRPr="003E3A3E" w:rsidRDefault="003E3A3E" w:rsidP="003E3A3E">
      <w:r w:rsidRPr="003E3A3E">
        <w:t>16 de abril de 2024</w:t>
      </w:r>
    </w:p>
    <w:p w14:paraId="0583FA6D" w14:textId="2AD75231" w:rsidR="003E3A3E" w:rsidRPr="003E3A3E" w:rsidRDefault="003E3A3E" w:rsidP="003E3A3E">
      <w:pPr>
        <w:jc w:val="both"/>
      </w:pPr>
      <w:r w:rsidRPr="003E3A3E">
        <w:t>Las bolsas de valores de Shanghái, Shenzhen y Pekín de China</w:t>
      </w:r>
      <w:r>
        <w:t xml:space="preserve"> </w:t>
      </w:r>
      <w:r w:rsidRPr="003E3A3E">
        <w:t>han publicado</w:t>
      </w:r>
      <w:r>
        <w:t xml:space="preserve"> </w:t>
      </w:r>
      <w:r w:rsidRPr="003E3A3E">
        <w:t>la</w:t>
      </w:r>
      <w:r>
        <w:t xml:space="preserve"> </w:t>
      </w:r>
      <w:hyperlink r:id="rId10" w:history="1">
        <w:r w:rsidRPr="003E3A3E">
          <w:rPr>
            <w:rStyle w:val="Hipervnculo"/>
            <w:b/>
            <w:bCs/>
          </w:rPr>
          <w:t>versión final</w:t>
        </w:r>
      </w:hyperlink>
      <w:r>
        <w:t xml:space="preserve"> </w:t>
      </w:r>
      <w:r w:rsidRPr="003E3A3E">
        <w:t>de sus nuevas directrices para la elaboración de informes de sostenibilidad. Tras la actualización, las empresas que cotizan en índices clave tendrán que presentar sus informes de conformidad con las nuevas directrices a más tardar el 30 de abril de 2026. Las directrices utilizan el principio de doble materialidad, lo que significa que las empresas cotizadas tendrán que identificar si determinados temas tienen un impacto significativo en su valor y, a la inversa, si su rendimiento tiene un impacto significativo en la economía, la sociedad y el medio ambiente. Las directrices se abrieron a</w:t>
      </w:r>
      <w:r>
        <w:t xml:space="preserve"> </w:t>
      </w:r>
      <w:hyperlink r:id="rId11" w:history="1">
        <w:r w:rsidRPr="003E3A3E">
          <w:rPr>
            <w:rStyle w:val="Hipervnculo"/>
            <w:b/>
            <w:bCs/>
          </w:rPr>
          <w:t>consulta en febrero</w:t>
        </w:r>
      </w:hyperlink>
      <w:r>
        <w:t xml:space="preserve"> </w:t>
      </w:r>
      <w:r w:rsidRPr="003E3A3E">
        <w:t>como parte de los esfuerzos para estandarizar los mecanismos de gobernanza, promover divulgaciones de mayor calidad y garantizar que los inversores estén informados de las medidas adoptadas por las empresas que cotizan en bolsa para abordar y gestionar los impactos, los riesgos y las oportunidades relacionados con el desarrollo sostenible. Las directrices también fomentan la divulgación de las emisiones de gases de efecto invernadero de alcance 3, el uso del análisis de escenarios, la verificación por parte de terceros y la divulgación adicional de las iniciativas sociales en las que participan las empresas.</w:t>
      </w:r>
    </w:p>
    <w:p w14:paraId="1A5E52FA" w14:textId="3003DAA7" w:rsidR="003E3A3E" w:rsidRDefault="003E3A3E">
      <w:r w:rsidRPr="003E3A3E">
        <w:rPr>
          <w:noProof/>
        </w:rPr>
        <w:drawing>
          <wp:inline distT="0" distB="0" distL="0" distR="0" wp14:anchorId="1EE80625" wp14:editId="7269A775">
            <wp:extent cx="3954780" cy="3122937"/>
            <wp:effectExtent l="0" t="0" r="7620" b="127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969053" cy="3134208"/>
                    </a:xfrm>
                    <a:prstGeom prst="rect">
                      <a:avLst/>
                    </a:prstGeom>
                  </pic:spPr>
                </pic:pic>
              </a:graphicData>
            </a:graphic>
          </wp:inline>
        </w:drawing>
      </w:r>
    </w:p>
    <w:p w14:paraId="6B315CA2" w14:textId="0A1E396B" w:rsidR="003E3A3E" w:rsidRDefault="003E3A3E">
      <w:r w:rsidRPr="003E3A3E">
        <w:rPr>
          <w:noProof/>
        </w:rPr>
        <w:lastRenderedPageBreak/>
        <w:drawing>
          <wp:inline distT="0" distB="0" distL="0" distR="0" wp14:anchorId="0F1630B5" wp14:editId="7722B8F3">
            <wp:extent cx="5612130" cy="1012190"/>
            <wp:effectExtent l="0" t="0" r="762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612130" cy="1012190"/>
                    </a:xfrm>
                    <a:prstGeom prst="rect">
                      <a:avLst/>
                    </a:prstGeom>
                  </pic:spPr>
                </pic:pic>
              </a:graphicData>
            </a:graphic>
          </wp:inline>
        </w:drawing>
      </w:r>
    </w:p>
    <w:p w14:paraId="13876773" w14:textId="77777777" w:rsidR="003E3A3E" w:rsidRPr="003E3A3E" w:rsidRDefault="003E3A3E" w:rsidP="003E3A3E">
      <w:pPr>
        <w:jc w:val="both"/>
      </w:pPr>
      <w:r w:rsidRPr="003E3A3E">
        <w:t>China traza el camino hacia la divulgación unificada de sostenibilidad para 2030</w:t>
      </w:r>
    </w:p>
    <w:p w14:paraId="4C985C6D" w14:textId="0D1D04FF" w:rsidR="003E3A3E" w:rsidRPr="003E3A3E" w:rsidRDefault="003E3A3E" w:rsidP="003E3A3E">
      <w:pPr>
        <w:jc w:val="both"/>
      </w:pPr>
      <w:r w:rsidRPr="003E3A3E">
        <w:t>Updated: May 28, 2024 07:20</w:t>
      </w:r>
      <w:r>
        <w:t xml:space="preserve"> </w:t>
      </w:r>
      <w:r w:rsidRPr="003E3A3E">
        <w:t>Xinhua</w:t>
      </w:r>
    </w:p>
    <w:p w14:paraId="0C1E9D8A" w14:textId="3F085035" w:rsidR="003E3A3E" w:rsidRPr="003E3A3E" w:rsidRDefault="003E3A3E" w:rsidP="003E3A3E">
      <w:pPr>
        <w:jc w:val="both"/>
      </w:pPr>
      <w:r w:rsidRPr="003E3A3E">
        <w:t>BEIJING, 27 May (Xinhua) -- El Ministerio de Finanzas de China ha comenzado a solicitar opiniones sobre un borrador de directriz destinado a unificar las divulgaciones de sostenibilidad corporativa, con la visión de establecer un estándar nacional para 2030.</w:t>
      </w:r>
    </w:p>
    <w:p w14:paraId="0D8E65BE" w14:textId="77777777" w:rsidR="003E3A3E" w:rsidRPr="003E3A3E" w:rsidRDefault="003E3A3E" w:rsidP="003E3A3E">
      <w:pPr>
        <w:jc w:val="both"/>
      </w:pPr>
      <w:r w:rsidRPr="003E3A3E">
        <w:t>La medida se produce en medio de un creciente enfoque global en cuestiones ambientales, sociales y de gobernanza (ESG), lo que ha hecho que la mejora de la divulgación de información sobre sostenibilidad corporativa sea un imperativo.</w:t>
      </w:r>
    </w:p>
    <w:p w14:paraId="2AE1DCC0" w14:textId="77777777" w:rsidR="003E3A3E" w:rsidRPr="003E3A3E" w:rsidRDefault="003E3A3E" w:rsidP="003E3A3E">
      <w:pPr>
        <w:jc w:val="both"/>
      </w:pPr>
      <w:r w:rsidRPr="003E3A3E">
        <w:t>El borrador de la directriz fue publicado en el sitio web oficial del ministerio el lunes.</w:t>
      </w:r>
    </w:p>
    <w:p w14:paraId="35DE8A77" w14:textId="77777777" w:rsidR="003E3A3E" w:rsidRPr="003E3A3E" w:rsidRDefault="003E3A3E" w:rsidP="003E3A3E">
      <w:pPr>
        <w:jc w:val="both"/>
      </w:pPr>
      <w:r w:rsidRPr="003E3A3E">
        <w:t>Actualmente, las divulgaciones de las empresas chinas son en gran medida voluntarias y carecen de estándares uniformes, según el ministerio.</w:t>
      </w:r>
    </w:p>
    <w:p w14:paraId="3572D378" w14:textId="77777777" w:rsidR="003E3A3E" w:rsidRPr="003E3A3E" w:rsidRDefault="003E3A3E" w:rsidP="003E3A3E">
      <w:pPr>
        <w:jc w:val="both"/>
      </w:pPr>
      <w:r w:rsidRPr="003E3A3E">
        <w:t>Las reglas unificadas ayudarán a las empresas a participar mejor en las actividades de comercio e inversión globales, mejorar su competitividad internacional y apoyar la apertura institucional de China, dijo el ministerio.</w:t>
      </w:r>
    </w:p>
    <w:p w14:paraId="11276D13" w14:textId="77777777" w:rsidR="003E3A3E" w:rsidRPr="003E3A3E" w:rsidRDefault="003E3A3E" w:rsidP="003E3A3E">
      <w:pPr>
        <w:jc w:val="both"/>
      </w:pPr>
      <w:r w:rsidRPr="003E3A3E">
        <w:t>El borrador de la directriz, denominado "Normas de divulgación de sostenibilidad corporativa - Normas básicas", establece requisitos generales para la divulgación de información de sostenibilidad corporativa y se aplica a las empresas establecidas en China que están obligadas a divulgar dicha información.</w:t>
      </w:r>
    </w:p>
    <w:p w14:paraId="30903A82" w14:textId="77777777" w:rsidR="003E3A3E" w:rsidRPr="003E3A3E" w:rsidRDefault="003E3A3E" w:rsidP="003E3A3E">
      <w:pPr>
        <w:jc w:val="both"/>
      </w:pPr>
      <w:r w:rsidRPr="003E3A3E">
        <w:t>Teniendo en cuenta la etapa de desarrollo y la capacidad de divulgación de las empresas chinas, la implementación de las normas básicas no adoptará un enfoque obligatorio único para todos.</w:t>
      </w:r>
    </w:p>
    <w:p w14:paraId="28216771" w14:textId="77777777" w:rsidR="003E3A3E" w:rsidRPr="003E3A3E" w:rsidRDefault="003E3A3E" w:rsidP="003E3A3E">
      <w:pPr>
        <w:jc w:val="both"/>
      </w:pPr>
      <w:r w:rsidRPr="003E3A3E">
        <w:t>En su lugar, pretende extenderse gradualmente de las empresas que cotizan en bolsa a las empresas que no cotizan en bolsa y de la divulgación voluntaria a la obligatoria.</w:t>
      </w:r>
    </w:p>
    <w:p w14:paraId="248A2834" w14:textId="77777777" w:rsidR="003E3A3E" w:rsidRPr="003E3A3E" w:rsidRDefault="003E3A3E" w:rsidP="003E3A3E">
      <w:pPr>
        <w:jc w:val="both"/>
      </w:pPr>
      <w:r w:rsidRPr="003E3A3E">
        <w:t>Para 2027, China espera haber introducido normas básicas de divulgación de sostenibilidad corporativa y normas de divulgación relacionadas con el clima.</w:t>
      </w:r>
    </w:p>
    <w:p w14:paraId="633517AC" w14:textId="77777777" w:rsidR="003E3A3E" w:rsidRPr="003E3A3E" w:rsidRDefault="003E3A3E" w:rsidP="003E3A3E">
      <w:pPr>
        <w:jc w:val="both"/>
      </w:pPr>
      <w:r w:rsidRPr="003E3A3E">
        <w:t>Dado el largo plazo de desarrollo del sistema de normas, los departamentos pertinentes pueden formular directrices y sistemas reglamentarios para industrias o campos específicos, según sea necesario, con planes para ajustarlos y mejorarlos con el tiempo.</w:t>
      </w:r>
    </w:p>
    <w:p w14:paraId="06DA17F3" w14:textId="77777777" w:rsidR="003E3A3E" w:rsidRPr="003E3A3E" w:rsidRDefault="003E3A3E" w:rsidP="003E3A3E">
      <w:pPr>
        <w:jc w:val="both"/>
      </w:pPr>
      <w:r w:rsidRPr="003E3A3E">
        <w:rPr>
          <w:b/>
          <w:bCs/>
        </w:rPr>
        <w:t>PERSPECTIVAS OPTIMISTAS EN MATERIA DE ESG</w:t>
      </w:r>
    </w:p>
    <w:p w14:paraId="77D57F6B" w14:textId="77777777" w:rsidR="003E3A3E" w:rsidRPr="003E3A3E" w:rsidRDefault="003E3A3E" w:rsidP="003E3A3E">
      <w:pPr>
        <w:jc w:val="both"/>
      </w:pPr>
      <w:r w:rsidRPr="003E3A3E">
        <w:t>Desde abril, China ha puesto en marcha una serie de medidas significativas en los ámbitos ESG, pico de carbono y neutralidad de carbono, y ecológico.</w:t>
      </w:r>
    </w:p>
    <w:p w14:paraId="54862A46" w14:textId="77777777" w:rsidR="003E3A3E" w:rsidRPr="003E3A3E" w:rsidRDefault="003E3A3E" w:rsidP="003E3A3E">
      <w:pPr>
        <w:jc w:val="both"/>
      </w:pPr>
      <w:r w:rsidRPr="003E3A3E">
        <w:lastRenderedPageBreak/>
        <w:t>Las bolsas de valores de Shanghái, Shenzhen y Pekín han publicado oficialmente directrices para los informes de desarrollo sostenible de las empresas que cotizan en bolsa, lo que supone la primera norma exhaustiva para la divulgación de información sobre sostenibilidad corporativa en China.</w:t>
      </w:r>
    </w:p>
    <w:p w14:paraId="3A10A9C1" w14:textId="77777777" w:rsidR="003E3A3E" w:rsidRPr="003E3A3E" w:rsidRDefault="003E3A3E" w:rsidP="003E3A3E">
      <w:pPr>
        <w:jc w:val="both"/>
      </w:pPr>
      <w:r w:rsidRPr="003E3A3E">
        <w:t>Además, el banco central y otros siete departamentos han emitido conjuntamente una guía que, por primera vez, incluye explícitamente los criterios ESG en las evaluaciones crediticias.</w:t>
      </w:r>
    </w:p>
    <w:p w14:paraId="2C4D214A" w14:textId="77777777" w:rsidR="003E3A3E" w:rsidRPr="003E3A3E" w:rsidRDefault="003E3A3E" w:rsidP="003E3A3E">
      <w:pPr>
        <w:jc w:val="both"/>
      </w:pPr>
      <w:r w:rsidRPr="003E3A3E">
        <w:t>Los riesgos sostenibles, como el cambio climático, la contaminación ambiental y los daños a los derechos de los trabajadores, pueden afectar gravemente a las operaciones de las empresas que cotizan en bolsa y son perjudiciales para la consecución de los objetivos de desarrollo económico y social sostenible.</w:t>
      </w:r>
    </w:p>
    <w:p w14:paraId="2602D4FF" w14:textId="77777777" w:rsidR="003E3A3E" w:rsidRPr="003E3A3E" w:rsidRDefault="003E3A3E" w:rsidP="003E3A3E">
      <w:pPr>
        <w:jc w:val="both"/>
      </w:pPr>
      <w:r w:rsidRPr="003E3A3E">
        <w:t>Los inversores y otras partes interesadas están cada vez más preocupados por si las prácticas comerciales de las empresas que cotizan en bolsa se alinean con las direcciones de desarrollo sostenible.</w:t>
      </w:r>
    </w:p>
    <w:p w14:paraId="55B20E8E" w14:textId="77777777" w:rsidR="003E3A3E" w:rsidRPr="003E3A3E" w:rsidRDefault="003E3A3E" w:rsidP="003E3A3E">
      <w:pPr>
        <w:jc w:val="both"/>
      </w:pPr>
      <w:r w:rsidRPr="003E3A3E">
        <w:t>A finales de abril de este año, 1.938 empresas que cotizan en bolsa han publicado informes con temática ESG, según un informe de China Galaxies Securities.</w:t>
      </w:r>
    </w:p>
    <w:p w14:paraId="2AE54836" w14:textId="77777777" w:rsidR="003E3A3E" w:rsidRPr="003E3A3E" w:rsidRDefault="003E3A3E" w:rsidP="003E3A3E">
      <w:pPr>
        <w:jc w:val="both"/>
      </w:pPr>
      <w:r w:rsidRPr="003E3A3E">
        <w:t>Los sectores de la banca, las finanzas no bancarias, el acero, la minería y los servicios públicos tienen las tasas de divulgación más altas para los informes ESG. En cuanto a los atributos corporativos, la tasa de divulgación de las empresas estatales administradas centralmente que cotizan en bolsa es la más alta, alcanzando el 80 por ciento.</w:t>
      </w:r>
    </w:p>
    <w:p w14:paraId="3910054D" w14:textId="77777777" w:rsidR="003E3A3E" w:rsidRPr="003E3A3E" w:rsidRDefault="003E3A3E" w:rsidP="003E3A3E">
      <w:pPr>
        <w:jc w:val="both"/>
      </w:pPr>
      <w:r w:rsidRPr="003E3A3E">
        <w:t>Este año se celebra el 20º aniversario del concepto ESG, y la inversión ESG de China está creciendo rápidamente.</w:t>
      </w:r>
    </w:p>
    <w:p w14:paraId="36A831F7" w14:textId="77777777" w:rsidR="003E3A3E" w:rsidRPr="003E3A3E" w:rsidRDefault="003E3A3E" w:rsidP="003E3A3E">
      <w:pPr>
        <w:jc w:val="both"/>
      </w:pPr>
      <w:r w:rsidRPr="003E3A3E">
        <w:t>Según datos de SynTao Green Finance, a finales del tercer trimestre de 2023, la escala de inversión ESG de China alcanzó los 33,06 billones de yuanes (unos 4,56 billones de dólares estadounidenses), un récord, con un aumento del 34,4% con respecto a 2022.</w:t>
      </w:r>
    </w:p>
    <w:p w14:paraId="6D91A625" w14:textId="77777777" w:rsidR="003E3A3E" w:rsidRPr="003E3A3E" w:rsidRDefault="003E3A3E" w:rsidP="003E3A3E">
      <w:pPr>
        <w:jc w:val="both"/>
      </w:pPr>
      <w:r w:rsidRPr="003E3A3E">
        <w:t>A medida que los conceptos de inversión son cada vez más reconocidos y aceptados, los productos financieros relacionados con ESG son cada vez más diversos. Según los datos de Wind, entre 2019 y 2023, el número de fondos ESG puros en China creció de 16 a 135, y los índices bursátiles ESG aumentaron de 66 a 370.</w:t>
      </w:r>
    </w:p>
    <w:p w14:paraId="079FDC58" w14:textId="77777777" w:rsidR="003E3A3E" w:rsidRPr="003E3A3E" w:rsidRDefault="003E3A3E" w:rsidP="003E3A3E">
      <w:pPr>
        <w:jc w:val="both"/>
      </w:pPr>
      <w:r w:rsidRPr="003E3A3E">
        <w:t>El proyecto de directriz consta de seis capítulos y 33 artículos, que abarcan las disposiciones generales, los objetivos y principios de divulgación, los requisitos de calidad de la información, los elementos de divulgación, otros requisitos de divulgación y las disposiciones complementarias.</w:t>
      </w:r>
    </w:p>
    <w:p w14:paraId="1AD4DC09" w14:textId="77777777" w:rsidR="003E3A3E" w:rsidRPr="003E3A3E" w:rsidRDefault="003E3A3E" w:rsidP="003E3A3E">
      <w:pPr>
        <w:jc w:val="both"/>
      </w:pPr>
      <w:r w:rsidRPr="003E3A3E">
        <w:t>La fecha límite para solicitar opiniones es el 24 de junio de este año.</w:t>
      </w:r>
    </w:p>
    <w:p w14:paraId="730A045B" w14:textId="4B9E77CC" w:rsidR="003E3A3E" w:rsidRPr="003E3A3E" w:rsidRDefault="003E3A3E" w:rsidP="003E3A3E">
      <w:pPr>
        <w:spacing w:after="0"/>
        <w:jc w:val="center"/>
      </w:pPr>
      <w:r w:rsidRPr="003E3A3E">
        <w:t>Derechos de autor©</w:t>
      </w:r>
      <w:r w:rsidR="002A4815">
        <w:t xml:space="preserve"> </w:t>
      </w:r>
      <w:hyperlink r:id="rId14" w:tgtFrame="_blank" w:history="1">
        <w:r w:rsidRPr="003E3A3E">
          <w:rPr>
            <w:rStyle w:val="Hipervnculo"/>
          </w:rPr>
          <w:t>www.gov.cn</w:t>
        </w:r>
      </w:hyperlink>
      <w:r w:rsidR="002A4815">
        <w:rPr>
          <w:rStyle w:val="Hipervnculo"/>
        </w:rPr>
        <w:t xml:space="preserve"> </w:t>
      </w:r>
      <w:r w:rsidRPr="003E3A3E">
        <w:t>|</w:t>
      </w:r>
      <w:r w:rsidR="002A4815">
        <w:t xml:space="preserve"> </w:t>
      </w:r>
      <w:hyperlink r:id="rId15" w:history="1">
        <w:r w:rsidRPr="003E3A3E">
          <w:rPr>
            <w:rStyle w:val="Hipervnculo"/>
          </w:rPr>
          <w:t>Sobre nosotros</w:t>
        </w:r>
      </w:hyperlink>
      <w:r w:rsidR="002A4815">
        <w:rPr>
          <w:rStyle w:val="Hipervnculo"/>
        </w:rPr>
        <w:t xml:space="preserve"> </w:t>
      </w:r>
      <w:r w:rsidRPr="003E3A3E">
        <w:t>|</w:t>
      </w:r>
      <w:r w:rsidR="002A4815">
        <w:t xml:space="preserve"> </w:t>
      </w:r>
      <w:hyperlink r:id="rId16" w:history="1">
        <w:r w:rsidRPr="003E3A3E">
          <w:rPr>
            <w:rStyle w:val="Hipervnculo"/>
          </w:rPr>
          <w:t>Contáctenos</w:t>
        </w:r>
      </w:hyperlink>
    </w:p>
    <w:p w14:paraId="62561503" w14:textId="149524A2" w:rsidR="003E3A3E" w:rsidRPr="003E3A3E" w:rsidRDefault="003E3A3E" w:rsidP="003E3A3E">
      <w:pPr>
        <w:spacing w:after="0"/>
        <w:jc w:val="center"/>
      </w:pPr>
      <w:r w:rsidRPr="003E3A3E">
        <w:t>Código de identificación del sitio web bm01000001</w:t>
      </w:r>
      <w:r w:rsidR="002A4815">
        <w:t xml:space="preserve"> </w:t>
      </w:r>
      <w:hyperlink r:id="rId17" w:anchor="/Integrated/index" w:tgtFrame="_blank" w:history="1">
        <w:r w:rsidRPr="003E3A3E">
          <w:rPr>
            <w:rStyle w:val="Hipervnculo"/>
          </w:rPr>
          <w:t>Número de registro: 05070218</w:t>
        </w:r>
      </w:hyperlink>
    </w:p>
    <w:p w14:paraId="1B70FAF8" w14:textId="77777777" w:rsidR="003E3A3E" w:rsidRPr="003E3A3E" w:rsidRDefault="003E3A3E" w:rsidP="003E3A3E">
      <w:pPr>
        <w:spacing w:after="0"/>
        <w:jc w:val="center"/>
      </w:pPr>
      <w:r w:rsidRPr="003E3A3E">
        <w:t>Todos los derechos reservados. El contenido (incluidos, entre otros, textos, fotos, información multimedia, etc.) publicado en este sitio pertenece a www.gov.cn.</w:t>
      </w:r>
    </w:p>
    <w:p w14:paraId="5858BEA1" w14:textId="77777777" w:rsidR="003E3A3E" w:rsidRPr="003E3A3E" w:rsidRDefault="003E3A3E" w:rsidP="003E3A3E">
      <w:pPr>
        <w:jc w:val="center"/>
      </w:pPr>
      <w:r w:rsidRPr="003E3A3E">
        <w:t>Sin la autorización por escrito de www.gov.cn, dicho contenido no podrá volver a publicarse ni utilizarse de ninguna forma.</w:t>
      </w:r>
    </w:p>
    <w:p w14:paraId="448D6A27" w14:textId="77777777" w:rsidR="003E3A3E" w:rsidRDefault="003E3A3E" w:rsidP="003E3A3E">
      <w:pPr>
        <w:jc w:val="both"/>
      </w:pPr>
    </w:p>
    <w:sectPr w:rsidR="003E3A3E">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ova Cond">
    <w:altName w:val="Arial Nova Cond"/>
    <w:charset w:val="00"/>
    <w:family w:val="swiss"/>
    <w:pitch w:val="variable"/>
    <w:sig w:usb0="0000028F" w:usb1="00000002"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3A3E"/>
    <w:rsid w:val="002A4815"/>
    <w:rsid w:val="003E3A3E"/>
    <w:rsid w:val="0054724F"/>
    <w:rsid w:val="00E15DD0"/>
    <w:rsid w:val="00E772C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2FAEA4"/>
  <w15:chartTrackingRefBased/>
  <w15:docId w15:val="{1EBE11CB-AD1D-441B-BC84-619ACD2A3D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3E3A3E"/>
    <w:rPr>
      <w:color w:val="0563C1" w:themeColor="hyperlink"/>
      <w:u w:val="single"/>
    </w:rPr>
  </w:style>
  <w:style w:type="character" w:styleId="Mencinsinresolver">
    <w:name w:val="Unresolved Mention"/>
    <w:basedOn w:val="Fuentedeprrafopredeter"/>
    <w:uiPriority w:val="99"/>
    <w:semiHidden/>
    <w:unhideWhenUsed/>
    <w:rsid w:val="003E3A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2814109">
      <w:bodyDiv w:val="1"/>
      <w:marLeft w:val="0"/>
      <w:marRight w:val="0"/>
      <w:marTop w:val="0"/>
      <w:marBottom w:val="0"/>
      <w:divBdr>
        <w:top w:val="none" w:sz="0" w:space="0" w:color="auto"/>
        <w:left w:val="none" w:sz="0" w:space="0" w:color="auto"/>
        <w:bottom w:val="none" w:sz="0" w:space="0" w:color="auto"/>
        <w:right w:val="none" w:sz="0" w:space="0" w:color="auto"/>
      </w:divBdr>
      <w:divsChild>
        <w:div w:id="576093095">
          <w:marLeft w:val="0"/>
          <w:marRight w:val="0"/>
          <w:marTop w:val="150"/>
          <w:marBottom w:val="0"/>
          <w:divBdr>
            <w:top w:val="none" w:sz="0" w:space="0" w:color="auto"/>
            <w:left w:val="none" w:sz="0" w:space="0" w:color="auto"/>
            <w:bottom w:val="none" w:sz="0" w:space="0" w:color="auto"/>
            <w:right w:val="none" w:sz="0" w:space="0" w:color="auto"/>
          </w:divBdr>
          <w:divsChild>
            <w:div w:id="184251795">
              <w:marLeft w:val="-1050"/>
              <w:marRight w:val="0"/>
              <w:marTop w:val="0"/>
              <w:marBottom w:val="0"/>
              <w:divBdr>
                <w:top w:val="none" w:sz="0" w:space="0" w:color="auto"/>
                <w:left w:val="none" w:sz="0" w:space="0" w:color="auto"/>
                <w:bottom w:val="none" w:sz="0" w:space="0" w:color="auto"/>
                <w:right w:val="none" w:sz="0" w:space="0" w:color="auto"/>
              </w:divBdr>
              <w:divsChild>
                <w:div w:id="387842565">
                  <w:marLeft w:val="0"/>
                  <w:marRight w:val="300"/>
                  <w:marTop w:val="0"/>
                  <w:marBottom w:val="0"/>
                  <w:divBdr>
                    <w:top w:val="none" w:sz="0" w:space="0" w:color="auto"/>
                    <w:left w:val="none" w:sz="0" w:space="0" w:color="auto"/>
                    <w:bottom w:val="none" w:sz="0" w:space="0" w:color="auto"/>
                    <w:right w:val="none" w:sz="0" w:space="0" w:color="auto"/>
                  </w:divBdr>
                </w:div>
                <w:div w:id="1771702506">
                  <w:marLeft w:val="1050"/>
                  <w:marRight w:val="0"/>
                  <w:marTop w:val="0"/>
                  <w:marBottom w:val="0"/>
                  <w:divBdr>
                    <w:top w:val="none" w:sz="0" w:space="0" w:color="auto"/>
                    <w:left w:val="none" w:sz="0" w:space="0" w:color="auto"/>
                    <w:bottom w:val="none" w:sz="0" w:space="0" w:color="auto"/>
                    <w:right w:val="none" w:sz="0" w:space="0" w:color="auto"/>
                  </w:divBdr>
                  <w:divsChild>
                    <w:div w:id="1181509218">
                      <w:marLeft w:val="0"/>
                      <w:marRight w:val="0"/>
                      <w:marTop w:val="75"/>
                      <w:marBottom w:val="0"/>
                      <w:divBdr>
                        <w:top w:val="none" w:sz="0" w:space="0" w:color="auto"/>
                        <w:left w:val="none" w:sz="0" w:space="0" w:color="auto"/>
                        <w:bottom w:val="none" w:sz="0" w:space="0" w:color="auto"/>
                        <w:right w:val="none" w:sz="0" w:space="0" w:color="auto"/>
                      </w:divBdr>
                      <w:divsChild>
                        <w:div w:id="2054386096">
                          <w:marLeft w:val="0"/>
                          <w:marRight w:val="0"/>
                          <w:marTop w:val="0"/>
                          <w:marBottom w:val="75"/>
                          <w:divBdr>
                            <w:top w:val="none" w:sz="0" w:space="0" w:color="auto"/>
                            <w:left w:val="none" w:sz="0" w:space="0" w:color="auto"/>
                            <w:bottom w:val="single" w:sz="6" w:space="4" w:color="DDDDDD"/>
                            <w:right w:val="none" w:sz="0" w:space="0" w:color="auto"/>
                          </w:divBdr>
                          <w:divsChild>
                            <w:div w:id="27341404">
                              <w:marLeft w:val="0"/>
                              <w:marRight w:val="0"/>
                              <w:marTop w:val="0"/>
                              <w:marBottom w:val="0"/>
                              <w:divBdr>
                                <w:top w:val="none" w:sz="0" w:space="0" w:color="auto"/>
                                <w:left w:val="none" w:sz="0" w:space="0" w:color="auto"/>
                                <w:bottom w:val="none" w:sz="0" w:space="0" w:color="auto"/>
                                <w:right w:val="none" w:sz="0" w:space="0" w:color="auto"/>
                              </w:divBdr>
                            </w:div>
                          </w:divsChild>
                        </w:div>
                        <w:div w:id="415327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4801284">
          <w:marLeft w:val="0"/>
          <w:marRight w:val="0"/>
          <w:marTop w:val="0"/>
          <w:marBottom w:val="0"/>
          <w:divBdr>
            <w:top w:val="none" w:sz="0" w:space="0" w:color="auto"/>
            <w:left w:val="none" w:sz="0" w:space="0" w:color="auto"/>
            <w:bottom w:val="none" w:sz="0" w:space="0" w:color="auto"/>
            <w:right w:val="none" w:sz="0" w:space="0" w:color="auto"/>
          </w:divBdr>
          <w:divsChild>
            <w:div w:id="1726491918">
              <w:marLeft w:val="0"/>
              <w:marRight w:val="0"/>
              <w:marTop w:val="0"/>
              <w:marBottom w:val="0"/>
              <w:divBdr>
                <w:top w:val="none" w:sz="0" w:space="0" w:color="auto"/>
                <w:left w:val="none" w:sz="0" w:space="0" w:color="auto"/>
                <w:bottom w:val="none" w:sz="0" w:space="0" w:color="auto"/>
                <w:right w:val="none" w:sz="0" w:space="0" w:color="auto"/>
              </w:divBdr>
              <w:divsChild>
                <w:div w:id="39595998">
                  <w:marLeft w:val="0"/>
                  <w:marRight w:val="0"/>
                  <w:marTop w:val="0"/>
                  <w:marBottom w:val="0"/>
                  <w:divBdr>
                    <w:top w:val="none" w:sz="0" w:space="0" w:color="auto"/>
                    <w:left w:val="none" w:sz="0" w:space="0" w:color="auto"/>
                    <w:bottom w:val="none" w:sz="0" w:space="0" w:color="auto"/>
                    <w:right w:val="none" w:sz="0" w:space="0" w:color="auto"/>
                  </w:divBdr>
                  <w:divsChild>
                    <w:div w:id="801507372">
                      <w:marLeft w:val="0"/>
                      <w:marRight w:val="0"/>
                      <w:marTop w:val="0"/>
                      <w:marBottom w:val="0"/>
                      <w:divBdr>
                        <w:top w:val="none" w:sz="0" w:space="0" w:color="auto"/>
                        <w:left w:val="none" w:sz="0" w:space="0" w:color="auto"/>
                        <w:bottom w:val="none" w:sz="0" w:space="0" w:color="auto"/>
                        <w:right w:val="none" w:sz="0" w:space="0" w:color="auto"/>
                      </w:divBdr>
                      <w:divsChild>
                        <w:div w:id="1857576828">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 w:id="1168902513">
      <w:bodyDiv w:val="1"/>
      <w:marLeft w:val="0"/>
      <w:marRight w:val="0"/>
      <w:marTop w:val="0"/>
      <w:marBottom w:val="0"/>
      <w:divBdr>
        <w:top w:val="none" w:sz="0" w:space="0" w:color="auto"/>
        <w:left w:val="none" w:sz="0" w:space="0" w:color="auto"/>
        <w:bottom w:val="none" w:sz="0" w:space="0" w:color="auto"/>
        <w:right w:val="none" w:sz="0" w:space="0" w:color="auto"/>
      </w:divBdr>
      <w:divsChild>
        <w:div w:id="2045670177">
          <w:marLeft w:val="0"/>
          <w:marRight w:val="0"/>
          <w:marTop w:val="0"/>
          <w:marBottom w:val="0"/>
          <w:divBdr>
            <w:top w:val="none" w:sz="0" w:space="0" w:color="auto"/>
            <w:left w:val="none" w:sz="0" w:space="0" w:color="auto"/>
            <w:bottom w:val="none" w:sz="0" w:space="0" w:color="auto"/>
            <w:right w:val="none" w:sz="0" w:space="0" w:color="auto"/>
          </w:divBdr>
          <w:divsChild>
            <w:div w:id="1650090901">
              <w:marLeft w:val="0"/>
              <w:marRight w:val="0"/>
              <w:marTop w:val="0"/>
              <w:marBottom w:val="0"/>
              <w:divBdr>
                <w:top w:val="none" w:sz="0" w:space="0" w:color="auto"/>
                <w:left w:val="none" w:sz="0" w:space="0" w:color="auto"/>
                <w:bottom w:val="none" w:sz="0" w:space="0" w:color="auto"/>
                <w:right w:val="none" w:sz="0" w:space="0" w:color="auto"/>
              </w:divBdr>
              <w:divsChild>
                <w:div w:id="1746293154">
                  <w:marLeft w:val="0"/>
                  <w:marRight w:val="0"/>
                  <w:marTop w:val="0"/>
                  <w:marBottom w:val="0"/>
                  <w:divBdr>
                    <w:top w:val="none" w:sz="0" w:space="0" w:color="auto"/>
                    <w:left w:val="none" w:sz="0" w:space="0" w:color="auto"/>
                    <w:bottom w:val="none" w:sz="0" w:space="0" w:color="auto"/>
                    <w:right w:val="none" w:sz="0" w:space="0" w:color="auto"/>
                  </w:divBdr>
                  <w:divsChild>
                    <w:div w:id="1750275543">
                      <w:marLeft w:val="0"/>
                      <w:marRight w:val="0"/>
                      <w:marTop w:val="0"/>
                      <w:marBottom w:val="0"/>
                      <w:divBdr>
                        <w:top w:val="none" w:sz="0" w:space="0" w:color="auto"/>
                        <w:left w:val="none" w:sz="0" w:space="0" w:color="auto"/>
                        <w:bottom w:val="none" w:sz="0" w:space="0" w:color="auto"/>
                        <w:right w:val="none" w:sz="0" w:space="0" w:color="auto"/>
                      </w:divBdr>
                      <w:divsChild>
                        <w:div w:id="2090348966">
                          <w:marLeft w:val="0"/>
                          <w:marRight w:val="0"/>
                          <w:marTop w:val="0"/>
                          <w:marBottom w:val="375"/>
                          <w:divBdr>
                            <w:top w:val="none" w:sz="0" w:space="0" w:color="auto"/>
                            <w:left w:val="none" w:sz="0" w:space="0" w:color="auto"/>
                            <w:bottom w:val="none" w:sz="0" w:space="0" w:color="auto"/>
                            <w:right w:val="none" w:sz="0" w:space="0" w:color="auto"/>
                          </w:divBdr>
                        </w:div>
                        <w:div w:id="1358040325">
                          <w:marLeft w:val="0"/>
                          <w:marRight w:val="0"/>
                          <w:marTop w:val="0"/>
                          <w:marBottom w:val="675"/>
                          <w:divBdr>
                            <w:top w:val="none" w:sz="0" w:space="0" w:color="auto"/>
                            <w:left w:val="none" w:sz="0" w:space="0" w:color="auto"/>
                            <w:bottom w:val="none" w:sz="0" w:space="0" w:color="auto"/>
                            <w:right w:val="none" w:sz="0" w:space="0" w:color="auto"/>
                          </w:divBdr>
                        </w:div>
                        <w:div w:id="41760090">
                          <w:marLeft w:val="0"/>
                          <w:marRight w:val="0"/>
                          <w:marTop w:val="0"/>
                          <w:marBottom w:val="1050"/>
                          <w:divBdr>
                            <w:top w:val="none" w:sz="0" w:space="0" w:color="auto"/>
                            <w:left w:val="none" w:sz="0" w:space="0" w:color="auto"/>
                            <w:bottom w:val="none" w:sz="0" w:space="0" w:color="auto"/>
                            <w:right w:val="none" w:sz="0" w:space="0" w:color="auto"/>
                          </w:divBdr>
                        </w:div>
                      </w:divsChild>
                    </w:div>
                  </w:divsChild>
                </w:div>
              </w:divsChild>
            </w:div>
          </w:divsChild>
        </w:div>
        <w:div w:id="187329599">
          <w:marLeft w:val="0"/>
          <w:marRight w:val="0"/>
          <w:marTop w:val="0"/>
          <w:marBottom w:val="0"/>
          <w:divBdr>
            <w:top w:val="none" w:sz="0" w:space="0" w:color="auto"/>
            <w:left w:val="none" w:sz="0" w:space="0" w:color="auto"/>
            <w:bottom w:val="none" w:sz="0" w:space="0" w:color="auto"/>
            <w:right w:val="none" w:sz="0" w:space="0" w:color="auto"/>
          </w:divBdr>
          <w:divsChild>
            <w:div w:id="105780506">
              <w:marLeft w:val="0"/>
              <w:marRight w:val="0"/>
              <w:marTop w:val="0"/>
              <w:marBottom w:val="0"/>
              <w:divBdr>
                <w:top w:val="none" w:sz="0" w:space="0" w:color="auto"/>
                <w:left w:val="none" w:sz="0" w:space="0" w:color="auto"/>
                <w:bottom w:val="none" w:sz="0" w:space="0" w:color="auto"/>
                <w:right w:val="none" w:sz="0" w:space="0" w:color="auto"/>
              </w:divBdr>
              <w:divsChild>
                <w:div w:id="1447456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0660759">
      <w:bodyDiv w:val="1"/>
      <w:marLeft w:val="0"/>
      <w:marRight w:val="0"/>
      <w:marTop w:val="0"/>
      <w:marBottom w:val="0"/>
      <w:divBdr>
        <w:top w:val="none" w:sz="0" w:space="0" w:color="auto"/>
        <w:left w:val="none" w:sz="0" w:space="0" w:color="auto"/>
        <w:bottom w:val="none" w:sz="0" w:space="0" w:color="auto"/>
        <w:right w:val="none" w:sz="0" w:space="0" w:color="auto"/>
      </w:divBdr>
      <w:divsChild>
        <w:div w:id="234125589">
          <w:marLeft w:val="0"/>
          <w:marRight w:val="0"/>
          <w:marTop w:val="150"/>
          <w:marBottom w:val="0"/>
          <w:divBdr>
            <w:top w:val="none" w:sz="0" w:space="0" w:color="auto"/>
            <w:left w:val="none" w:sz="0" w:space="0" w:color="auto"/>
            <w:bottom w:val="none" w:sz="0" w:space="0" w:color="auto"/>
            <w:right w:val="none" w:sz="0" w:space="0" w:color="auto"/>
          </w:divBdr>
          <w:divsChild>
            <w:div w:id="348681935">
              <w:marLeft w:val="-1050"/>
              <w:marRight w:val="0"/>
              <w:marTop w:val="0"/>
              <w:marBottom w:val="0"/>
              <w:divBdr>
                <w:top w:val="none" w:sz="0" w:space="0" w:color="auto"/>
                <w:left w:val="none" w:sz="0" w:space="0" w:color="auto"/>
                <w:bottom w:val="none" w:sz="0" w:space="0" w:color="auto"/>
                <w:right w:val="none" w:sz="0" w:space="0" w:color="auto"/>
              </w:divBdr>
              <w:divsChild>
                <w:div w:id="983893000">
                  <w:marLeft w:val="0"/>
                  <w:marRight w:val="300"/>
                  <w:marTop w:val="0"/>
                  <w:marBottom w:val="0"/>
                  <w:divBdr>
                    <w:top w:val="none" w:sz="0" w:space="0" w:color="auto"/>
                    <w:left w:val="none" w:sz="0" w:space="0" w:color="auto"/>
                    <w:bottom w:val="none" w:sz="0" w:space="0" w:color="auto"/>
                    <w:right w:val="none" w:sz="0" w:space="0" w:color="auto"/>
                  </w:divBdr>
                </w:div>
                <w:div w:id="614753347">
                  <w:marLeft w:val="1050"/>
                  <w:marRight w:val="0"/>
                  <w:marTop w:val="0"/>
                  <w:marBottom w:val="0"/>
                  <w:divBdr>
                    <w:top w:val="none" w:sz="0" w:space="0" w:color="auto"/>
                    <w:left w:val="none" w:sz="0" w:space="0" w:color="auto"/>
                    <w:bottom w:val="none" w:sz="0" w:space="0" w:color="auto"/>
                    <w:right w:val="none" w:sz="0" w:space="0" w:color="auto"/>
                  </w:divBdr>
                  <w:divsChild>
                    <w:div w:id="906578099">
                      <w:marLeft w:val="0"/>
                      <w:marRight w:val="0"/>
                      <w:marTop w:val="75"/>
                      <w:marBottom w:val="0"/>
                      <w:divBdr>
                        <w:top w:val="none" w:sz="0" w:space="0" w:color="auto"/>
                        <w:left w:val="none" w:sz="0" w:space="0" w:color="auto"/>
                        <w:bottom w:val="none" w:sz="0" w:space="0" w:color="auto"/>
                        <w:right w:val="none" w:sz="0" w:space="0" w:color="auto"/>
                      </w:divBdr>
                      <w:divsChild>
                        <w:div w:id="1081178549">
                          <w:marLeft w:val="0"/>
                          <w:marRight w:val="0"/>
                          <w:marTop w:val="0"/>
                          <w:marBottom w:val="75"/>
                          <w:divBdr>
                            <w:top w:val="none" w:sz="0" w:space="0" w:color="auto"/>
                            <w:left w:val="none" w:sz="0" w:space="0" w:color="auto"/>
                            <w:bottom w:val="single" w:sz="6" w:space="4" w:color="DDDDDD"/>
                            <w:right w:val="none" w:sz="0" w:space="0" w:color="auto"/>
                          </w:divBdr>
                          <w:divsChild>
                            <w:div w:id="615913192">
                              <w:marLeft w:val="0"/>
                              <w:marRight w:val="0"/>
                              <w:marTop w:val="0"/>
                              <w:marBottom w:val="0"/>
                              <w:divBdr>
                                <w:top w:val="none" w:sz="0" w:space="0" w:color="auto"/>
                                <w:left w:val="none" w:sz="0" w:space="0" w:color="auto"/>
                                <w:bottom w:val="none" w:sz="0" w:space="0" w:color="auto"/>
                                <w:right w:val="none" w:sz="0" w:space="0" w:color="auto"/>
                              </w:divBdr>
                            </w:div>
                          </w:divsChild>
                        </w:div>
                        <w:div w:id="999846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0943420">
          <w:marLeft w:val="0"/>
          <w:marRight w:val="0"/>
          <w:marTop w:val="0"/>
          <w:marBottom w:val="0"/>
          <w:divBdr>
            <w:top w:val="none" w:sz="0" w:space="0" w:color="auto"/>
            <w:left w:val="none" w:sz="0" w:space="0" w:color="auto"/>
            <w:bottom w:val="none" w:sz="0" w:space="0" w:color="auto"/>
            <w:right w:val="none" w:sz="0" w:space="0" w:color="auto"/>
          </w:divBdr>
          <w:divsChild>
            <w:div w:id="395470140">
              <w:marLeft w:val="0"/>
              <w:marRight w:val="0"/>
              <w:marTop w:val="0"/>
              <w:marBottom w:val="0"/>
              <w:divBdr>
                <w:top w:val="none" w:sz="0" w:space="0" w:color="auto"/>
                <w:left w:val="none" w:sz="0" w:space="0" w:color="auto"/>
                <w:bottom w:val="none" w:sz="0" w:space="0" w:color="auto"/>
                <w:right w:val="none" w:sz="0" w:space="0" w:color="auto"/>
              </w:divBdr>
              <w:divsChild>
                <w:div w:id="531112743">
                  <w:marLeft w:val="0"/>
                  <w:marRight w:val="0"/>
                  <w:marTop w:val="0"/>
                  <w:marBottom w:val="0"/>
                  <w:divBdr>
                    <w:top w:val="none" w:sz="0" w:space="0" w:color="auto"/>
                    <w:left w:val="none" w:sz="0" w:space="0" w:color="auto"/>
                    <w:bottom w:val="none" w:sz="0" w:space="0" w:color="auto"/>
                    <w:right w:val="none" w:sz="0" w:space="0" w:color="auto"/>
                  </w:divBdr>
                  <w:divsChild>
                    <w:div w:id="1428188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4.png"/><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esginvestor.net/live/china-issues-sustainability-reporting-guidelines/" TargetMode="External"/><Relationship Id="rId12" Type="http://schemas.openxmlformats.org/officeDocument/2006/relationships/image" Target="media/image3.png"/><Relationship Id="rId17" Type="http://schemas.openxmlformats.org/officeDocument/2006/relationships/hyperlink" Target="https://beian.miit.gov.cn/" TargetMode="External"/><Relationship Id="rId2" Type="http://schemas.openxmlformats.org/officeDocument/2006/relationships/settings" Target="settings.xml"/><Relationship Id="rId16" Type="http://schemas.openxmlformats.org/officeDocument/2006/relationships/hyperlink" Target="mailto:english@mail.gov.cn" TargetMode="External"/><Relationship Id="rId1" Type="http://schemas.openxmlformats.org/officeDocument/2006/relationships/styles" Target="styles.xml"/><Relationship Id="rId6" Type="http://schemas.openxmlformats.org/officeDocument/2006/relationships/hyperlink" Target="https://english.www.gov.cn/news/202405/28/content_WS6655152bc6d0868f4e8e78b8.html" TargetMode="External"/><Relationship Id="rId11" Type="http://schemas.openxmlformats.org/officeDocument/2006/relationships/hyperlink" Target="https://www.regulationasia.com/chinese-stock-exchanges-issue-first-sustainability-reporting-guidelines/" TargetMode="External"/><Relationship Id="rId5" Type="http://schemas.openxmlformats.org/officeDocument/2006/relationships/hyperlink" Target="https://www.esginvestor.net/author/alice-tchernookova/" TargetMode="External"/><Relationship Id="rId15" Type="http://schemas.openxmlformats.org/officeDocument/2006/relationships/hyperlink" Target="https://english.www.gov.cn/archive/202303/28/content_WS64227cbfc6d0f528699dc56b.html" TargetMode="External"/><Relationship Id="rId10" Type="http://schemas.openxmlformats.org/officeDocument/2006/relationships/hyperlink" Target="http://english.sse.com.cn/news/newsrelease/c/c_20240412_10753174.shtml" TargetMode="External"/><Relationship Id="rId19"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hyperlink" Target="https://www.esginvestor.net/author/regulationasia/" TargetMode="External"/><Relationship Id="rId14" Type="http://schemas.openxmlformats.org/officeDocument/2006/relationships/hyperlink" Target="https://www.gov.cn/"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4</Pages>
  <Words>1570</Words>
  <Characters>8638</Characters>
  <Application>Microsoft Office Word</Application>
  <DocSecurity>0</DocSecurity>
  <Lines>71</Lines>
  <Paragraphs>20</Paragraphs>
  <ScaleCrop>false</ScaleCrop>
  <Company/>
  <LinksUpToDate>false</LinksUpToDate>
  <CharactersWithSpaces>10188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RAUL RANGEL MENDEZ</dc:creator>
  <cp:keywords/>
  <dc:description/>
  <cp:lastModifiedBy>Raul Rangel</cp:lastModifiedBy>
  <cp:revision>4</cp:revision>
  <dcterms:created xsi:type="dcterms:W3CDTF">2024-06-04T16:26:00Z</dcterms:created>
  <dcterms:modified xsi:type="dcterms:W3CDTF">2024-06-25T03:05:00Z</dcterms:modified>
</cp:coreProperties>
</file>