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6560E" w14:textId="77777777" w:rsidR="00C00707" w:rsidRPr="00C00707" w:rsidRDefault="00C00707" w:rsidP="00C00707">
      <w:pPr>
        <w:jc w:val="both"/>
        <w:rPr>
          <w:rFonts w:ascii="Arial Nova Cond" w:hAnsi="Arial Nova Cond"/>
          <w:sz w:val="28"/>
          <w:szCs w:val="28"/>
        </w:rPr>
      </w:pPr>
      <w:r w:rsidRPr="00C00707">
        <w:rPr>
          <w:rFonts w:ascii="Arial Nova Cond" w:hAnsi="Arial Nova Cond"/>
          <w:sz w:val="28"/>
          <w:szCs w:val="28"/>
        </w:rPr>
        <w:t>GRI abre consulta pública sobre nueva taxonomía XBRL</w:t>
      </w:r>
    </w:p>
    <w:p w14:paraId="2A9DA821" w14:textId="671F3B24" w:rsidR="00C00707" w:rsidRPr="00C00707" w:rsidRDefault="00C00707" w:rsidP="00C00707">
      <w:pPr>
        <w:jc w:val="both"/>
      </w:pPr>
      <w:r w:rsidRPr="00C00707">
        <w:rPr>
          <w:noProof/>
        </w:rPr>
        <w:drawing>
          <wp:inline distT="0" distB="0" distL="0" distR="0" wp14:anchorId="0405CF17" wp14:editId="4FC22C02">
            <wp:extent cx="5612130" cy="374142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14:paraId="44E24C35" w14:textId="638CB542" w:rsidR="00C00707" w:rsidRPr="00C00707" w:rsidRDefault="00C00707" w:rsidP="00C00707">
      <w:pPr>
        <w:jc w:val="both"/>
      </w:pPr>
      <w:r w:rsidRPr="00C00707">
        <w:t>Publicado el 15 de junio de 2024 por</w:t>
      </w:r>
      <w:r>
        <w:t xml:space="preserve"> </w:t>
      </w:r>
      <w:hyperlink r:id="rId6" w:history="1">
        <w:r w:rsidRPr="00C00707">
          <w:rPr>
            <w:rStyle w:val="Hipervnculo"/>
            <w:b/>
            <w:bCs/>
          </w:rPr>
          <w:t>Editor</w:t>
        </w:r>
      </w:hyperlink>
    </w:p>
    <w:p w14:paraId="7D47D0D4" w14:textId="77777777" w:rsidR="00C00707" w:rsidRPr="00C00707" w:rsidRDefault="00C00707" w:rsidP="00C00707">
      <w:pPr>
        <w:jc w:val="both"/>
      </w:pPr>
      <w:r w:rsidRPr="00C00707">
        <w:t>Esta semana, Global Reporting Initiative (GRI) lanzó una consulta pública para su nuevo borrador de Taxonomía de Sostenibilidad GRI, que estará abierta hasta el 11 de agosto de 2024. Esta iniciativa tiene como objetivo recopilar comentarios de expertos de XBRL y especialistas en sostenibilidad sobre el diseño de la nueva taxonomía.</w:t>
      </w:r>
    </w:p>
    <w:p w14:paraId="472342DC" w14:textId="77777777" w:rsidR="00C00707" w:rsidRPr="00C00707" w:rsidRDefault="00C00707" w:rsidP="00C00707">
      <w:pPr>
        <w:jc w:val="both"/>
      </w:pPr>
      <w:r w:rsidRPr="00C00707">
        <w:t>La Taxonomía de Sostenibilidad GRI está diseñada para mejorar la accesibilidad y usabilidad de los datos de sostenibilidad reportados utilizando los Estándares GRI al permitir la presentación de informes digitales en un formato estandarizado y legible por máquina. Al aprovechar XBRL, GRI pretende crear un marco estructurado que permitirá a las organizaciones etiquetar digitalmente la información reportada de acuerdo con los Estándares GRI. Se espera que esta transición a la presentación de informes digitales facilite el acceso y el análisis de datos para múltiples partes interesadas, promoviendo así la transparencia y reduciendo los costos de cumplimiento.</w:t>
      </w:r>
    </w:p>
    <w:p w14:paraId="2EC8D6DA" w14:textId="77777777" w:rsidR="00C00707" w:rsidRPr="00C00707" w:rsidRDefault="00C00707" w:rsidP="00C00707">
      <w:pPr>
        <w:jc w:val="both"/>
      </w:pPr>
      <w:r w:rsidRPr="00C00707">
        <w:t>La nueva Taxonomía de Sostenibilidad GRI permitirá a las organizaciones presentar sus informes de sostenibilidad digitalmente, garantizando el cumplimiento de los Estándares GRI y facilitando la interoperabilidad con otros marcos de presentación de informes.</w:t>
      </w:r>
    </w:p>
    <w:p w14:paraId="69E7365F" w14:textId="77777777" w:rsidR="00C00707" w:rsidRPr="00C00707" w:rsidRDefault="00C00707" w:rsidP="00BD7CE7">
      <w:pPr>
        <w:spacing w:after="0"/>
        <w:jc w:val="both"/>
      </w:pPr>
      <w:r w:rsidRPr="00C00707">
        <w:t>Recomendamos encarecidamente a los expertos XBRL de nuestra red que echen un vistazo al borrador y proporcionen comentarios durante el período de consulta.</w:t>
      </w:r>
    </w:p>
    <w:p w14:paraId="661DB7CC" w14:textId="3FE4A875" w:rsidR="00C00707" w:rsidRPr="00C00707" w:rsidRDefault="00C00707" w:rsidP="00BD7CE7">
      <w:pPr>
        <w:spacing w:after="0"/>
        <w:jc w:val="both"/>
      </w:pPr>
      <w:r w:rsidRPr="00C00707">
        <w:t>Explore el borrador de la Taxonomía de Sostenibilidad de GRI y proporcione sus comentarios</w:t>
      </w:r>
      <w:r w:rsidR="00BD7CE7">
        <w:t xml:space="preserve"> </w:t>
      </w:r>
      <w:hyperlink r:id="rId7" w:tgtFrame="_blank" w:history="1">
        <w:r w:rsidRPr="00C00707">
          <w:rPr>
            <w:rStyle w:val="Hipervnculo"/>
          </w:rPr>
          <w:t>aquí</w:t>
        </w:r>
      </w:hyperlink>
      <w:r w:rsidRPr="00C00707">
        <w:t>.</w:t>
      </w:r>
    </w:p>
    <w:p w14:paraId="1D20EC6C" w14:textId="39280EC8" w:rsidR="00C00707" w:rsidRPr="00C00707" w:rsidRDefault="00B041F8" w:rsidP="00C00707">
      <w:pPr>
        <w:jc w:val="both"/>
      </w:pPr>
      <w:hyperlink r:id="rId8" w:history="1">
        <w:r w:rsidR="00C00707" w:rsidRPr="00C00707">
          <w:rPr>
            <w:rStyle w:val="Hipervnculo"/>
          </w:rPr>
          <w:t>Taxonomía</w:t>
        </w:r>
        <w:r w:rsidR="00C00707">
          <w:rPr>
            <w:rStyle w:val="Hipervnculo"/>
          </w:rPr>
          <w:t xml:space="preserve"> </w:t>
        </w:r>
      </w:hyperlink>
      <w:hyperlink r:id="rId9" w:history="1">
        <w:r w:rsidR="00C00707" w:rsidRPr="00C00707">
          <w:rPr>
            <w:rStyle w:val="Hipervnculo"/>
          </w:rPr>
          <w:t>ESG</w:t>
        </w:r>
        <w:r w:rsidR="00C00707">
          <w:rPr>
            <w:rStyle w:val="Hipervnculo"/>
          </w:rPr>
          <w:t xml:space="preserve"> </w:t>
        </w:r>
      </w:hyperlink>
      <w:hyperlink r:id="rId10" w:history="1">
        <w:r w:rsidR="00C00707" w:rsidRPr="00C00707">
          <w:rPr>
            <w:rStyle w:val="Hipervnculo"/>
          </w:rPr>
          <w:t>GRI</w:t>
        </w:r>
        <w:r w:rsidR="00C00707">
          <w:rPr>
            <w:rStyle w:val="Hipervnculo"/>
          </w:rPr>
          <w:t xml:space="preserve"> </w:t>
        </w:r>
      </w:hyperlink>
      <w:hyperlink r:id="rId11" w:history="1">
        <w:r w:rsidR="00C00707" w:rsidRPr="00C00707">
          <w:rPr>
            <w:rStyle w:val="Hipervnculo"/>
          </w:rPr>
          <w:t>XBRL</w:t>
        </w:r>
      </w:hyperlink>
    </w:p>
    <w:p w14:paraId="1A760351" w14:textId="2AAC0C11" w:rsidR="00C00707" w:rsidRDefault="00F53350" w:rsidP="00C00707">
      <w:pPr>
        <w:jc w:val="both"/>
      </w:pPr>
      <w:r w:rsidRPr="00F53350">
        <w:rPr>
          <w:noProof/>
        </w:rPr>
        <w:lastRenderedPageBreak/>
        <w:drawing>
          <wp:inline distT="0" distB="0" distL="0" distR="0" wp14:anchorId="24CB81B2" wp14:editId="02F92278">
            <wp:extent cx="5612130" cy="63627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636270"/>
                    </a:xfrm>
                    <a:prstGeom prst="rect">
                      <a:avLst/>
                    </a:prstGeom>
                  </pic:spPr>
                </pic:pic>
              </a:graphicData>
            </a:graphic>
          </wp:inline>
        </w:drawing>
      </w:r>
    </w:p>
    <w:p w14:paraId="52B91B36" w14:textId="77777777" w:rsidR="00F53350" w:rsidRPr="00F53350" w:rsidRDefault="00F53350" w:rsidP="00F53350">
      <w:pPr>
        <w:jc w:val="both"/>
        <w:rPr>
          <w:b/>
          <w:bCs/>
        </w:rPr>
      </w:pPr>
      <w:r w:rsidRPr="00F53350">
        <w:rPr>
          <w:b/>
          <w:bCs/>
        </w:rPr>
        <w:t>Taxonomía de Sostenibilidad GRI</w:t>
      </w:r>
    </w:p>
    <w:p w14:paraId="2255C3E8" w14:textId="77777777" w:rsidR="00F53350" w:rsidRPr="00F53350" w:rsidRDefault="00F53350" w:rsidP="00F53350">
      <w:pPr>
        <w:jc w:val="both"/>
      </w:pPr>
      <w:r w:rsidRPr="00F53350">
        <w:rPr>
          <w:b/>
          <w:bCs/>
        </w:rPr>
        <w:t>Digitalizando los Estándares GRI - consulta pública</w:t>
      </w:r>
    </w:p>
    <w:p w14:paraId="4F49543A" w14:textId="26FB1305" w:rsidR="00F53350" w:rsidRPr="00F53350" w:rsidRDefault="00F53350" w:rsidP="00F53350">
      <w:pPr>
        <w:jc w:val="both"/>
      </w:pPr>
      <w:r w:rsidRPr="00F53350">
        <w:t>Conozca el desarrollo de la Taxonomía de Sostenibilidad GRI basada en los Estándares GRI y proporcione su opinión sobre el trabajo que se está llevando a cabo.</w:t>
      </w:r>
    </w:p>
    <w:p w14:paraId="2557C40B" w14:textId="5B14CB6B" w:rsidR="00F53350" w:rsidRDefault="00F53350" w:rsidP="00C00707">
      <w:pPr>
        <w:jc w:val="both"/>
      </w:pPr>
    </w:p>
    <w:p w14:paraId="0D54C202" w14:textId="77777777" w:rsidR="00F53350" w:rsidRPr="00F53350" w:rsidRDefault="00F53350" w:rsidP="00F53350">
      <w:pPr>
        <w:jc w:val="both"/>
      </w:pPr>
      <w:r w:rsidRPr="00F53350">
        <w:t>Informar los impactos en la sostenibilidad se está convirtiendo cada vez más en una necesidad para las organizaciones de todo el mundo. Por lo tanto, es crucial facilitar la presentación de informes digitales (informes utilizando un formato digital legible por máquina) en las diferentes regulaciones. Esto mejora el acceso a datos de sostenibilidad relacionados con el impacto y ayuda a reducir los costos de cumplimiento.</w:t>
      </w:r>
    </w:p>
    <w:p w14:paraId="07A36F91" w14:textId="127CD8D3" w:rsidR="00F53350" w:rsidRPr="00F53350" w:rsidRDefault="00F53350" w:rsidP="00F53350">
      <w:pPr>
        <w:jc w:val="both"/>
      </w:pPr>
      <w:r w:rsidRPr="00F53350">
        <w:t>Es por eso que GRI está desarrollando una taxonomía integral para sus Estándares, basada en</w:t>
      </w:r>
      <w:r w:rsidR="00BD7CE7">
        <w:t xml:space="preserve"> </w:t>
      </w:r>
      <w:hyperlink r:id="rId13" w:tgtFrame="_blank" w:history="1">
        <w:r w:rsidRPr="00F53350">
          <w:rPr>
            <w:rStyle w:val="Hipervnculo"/>
          </w:rPr>
          <w:t>XBRL</w:t>
        </w:r>
      </w:hyperlink>
      <w:r w:rsidRPr="00F53350">
        <w:t>, un formato estandarizado para organizar e intercambiar información comercial. XBRL se utiliza comúnmente para informes financieros.</w:t>
      </w:r>
    </w:p>
    <w:p w14:paraId="23FBC0EE" w14:textId="77777777" w:rsidR="00F53350" w:rsidRPr="00F53350" w:rsidRDefault="00F53350" w:rsidP="00F53350">
      <w:pPr>
        <w:jc w:val="both"/>
      </w:pPr>
      <w:r w:rsidRPr="00F53350">
        <w:t>En pocas palabras, se crea un marco estructurado para organizar y clasificar el contenido que luego se puede informar digitalmente utilizando los Estándares GRI. Esto mejorará significativamente el acceso a datos de sostenibilidad para múltiples partes interesadas.</w:t>
      </w:r>
    </w:p>
    <w:p w14:paraId="0C25273B" w14:textId="77777777" w:rsidR="00F53350" w:rsidRPr="00F53350" w:rsidRDefault="00F53350" w:rsidP="00F53350">
      <w:pPr>
        <w:jc w:val="both"/>
      </w:pPr>
      <w:r w:rsidRPr="00F53350">
        <w:t>GRI ha lanzado una consulta pública para recopilar opiniones tanto de expertos de XBRL como de especialistas en sostenibilidad sobre el diseño de la [borrador] Taxonomía de Sostenibilidad de GRI abierta desde el 11 de junio de 2024 hasta el 11 de agosto de 2024. Obtenga más información y proporcione comentarios utilizando los enlaces a continuación.</w:t>
      </w:r>
    </w:p>
    <w:p w14:paraId="47CCBF88" w14:textId="240C55BC" w:rsidR="00F53350" w:rsidRDefault="00F53350" w:rsidP="00C00707">
      <w:pPr>
        <w:jc w:val="both"/>
      </w:pPr>
      <w:r w:rsidRPr="00F53350">
        <w:rPr>
          <w:noProof/>
        </w:rPr>
        <w:drawing>
          <wp:inline distT="0" distB="0" distL="0" distR="0" wp14:anchorId="0CDC6B91" wp14:editId="7C60AE51">
            <wp:extent cx="5612130" cy="124015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240155"/>
                    </a:xfrm>
                    <a:prstGeom prst="rect">
                      <a:avLst/>
                    </a:prstGeom>
                  </pic:spPr>
                </pic:pic>
              </a:graphicData>
            </a:graphic>
          </wp:inline>
        </w:drawing>
      </w:r>
    </w:p>
    <w:p w14:paraId="0841CDF7" w14:textId="659C3B3C" w:rsidR="00F53350" w:rsidRDefault="00F53350" w:rsidP="00C00707">
      <w:pPr>
        <w:jc w:val="both"/>
      </w:pPr>
      <w:r w:rsidRPr="00F53350">
        <w:rPr>
          <w:noProof/>
        </w:rPr>
        <w:lastRenderedPageBreak/>
        <w:drawing>
          <wp:inline distT="0" distB="0" distL="0" distR="0" wp14:anchorId="35994AC3" wp14:editId="5CD50251">
            <wp:extent cx="5612130" cy="171958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719580"/>
                    </a:xfrm>
                    <a:prstGeom prst="rect">
                      <a:avLst/>
                    </a:prstGeom>
                  </pic:spPr>
                </pic:pic>
              </a:graphicData>
            </a:graphic>
          </wp:inline>
        </w:drawing>
      </w:r>
    </w:p>
    <w:p w14:paraId="56D36ECD" w14:textId="77777777" w:rsidR="00F53350" w:rsidRPr="00F53350" w:rsidRDefault="00F53350" w:rsidP="00F53350">
      <w:pPr>
        <w:jc w:val="both"/>
        <w:rPr>
          <w:b/>
          <w:bCs/>
        </w:rPr>
      </w:pPr>
      <w:r w:rsidRPr="00F53350">
        <w:rPr>
          <w:b/>
          <w:bCs/>
        </w:rPr>
        <w:t>Consulta para especialistas XBRL</w:t>
      </w:r>
    </w:p>
    <w:p w14:paraId="084E9940" w14:textId="77777777" w:rsidR="00F53350" w:rsidRPr="00F53350" w:rsidRDefault="00F53350" w:rsidP="00F53350">
      <w:pPr>
        <w:jc w:val="both"/>
      </w:pPr>
      <w:r w:rsidRPr="00F53350">
        <w:t>Profundice en los detalles técnicos de nuestra taxonomía y proporcione sus comentarios</w:t>
      </w:r>
    </w:p>
    <w:p w14:paraId="4A59D982" w14:textId="77777777" w:rsidR="00F53350" w:rsidRPr="00F53350" w:rsidRDefault="00F53350" w:rsidP="00F53350">
      <w:pPr>
        <w:jc w:val="both"/>
        <w:rPr>
          <w:b/>
          <w:bCs/>
        </w:rPr>
      </w:pPr>
      <w:r w:rsidRPr="00F53350">
        <w:rPr>
          <w:b/>
          <w:bCs/>
        </w:rPr>
        <w:t>Informes digitales utilizando GRI</w:t>
      </w:r>
    </w:p>
    <w:p w14:paraId="73FA1EF9" w14:textId="77777777" w:rsidR="00F53350" w:rsidRPr="00F53350" w:rsidRDefault="00F53350" w:rsidP="00F53350">
      <w:pPr>
        <w:jc w:val="both"/>
      </w:pPr>
      <w:r w:rsidRPr="00F53350">
        <w:t>Las taxonomías son el núcleo de los informes XBRL. Por primera vez, los Estándares GRI estarán disponibles digitalmente y queremos su ayuda para asegurarnos de que nuestra taxonomía se desarrolle para satisfacer las necesidades de los especialistas de XBRL y de los expertos en sostenibilidad.</w:t>
      </w:r>
    </w:p>
    <w:p w14:paraId="5D8332FD" w14:textId="60478FCA" w:rsidR="00F53350" w:rsidRPr="00F53350" w:rsidRDefault="00F53350" w:rsidP="00F53350">
      <w:pPr>
        <w:jc w:val="both"/>
      </w:pPr>
      <w:r w:rsidRPr="00F53350">
        <w:t>Para participar en la consulta, revise los documentos y complete</w:t>
      </w:r>
      <w:r w:rsidR="00BD7CE7">
        <w:t xml:space="preserve"> </w:t>
      </w:r>
      <w:hyperlink r:id="rId16" w:tgtFrame="_blank" w:history="1">
        <w:r w:rsidRPr="00F53350">
          <w:rPr>
            <w:rStyle w:val="Hipervnculo"/>
          </w:rPr>
          <w:t>nuestro cuestionario</w:t>
        </w:r>
      </w:hyperlink>
      <w:r w:rsidRPr="00F53350">
        <w:t>.</w:t>
      </w:r>
    </w:p>
    <w:p w14:paraId="1AD7B7AB" w14:textId="77777777" w:rsidR="00F53350" w:rsidRPr="00F53350" w:rsidRDefault="00F53350" w:rsidP="00F53350">
      <w:pPr>
        <w:jc w:val="both"/>
        <w:rPr>
          <w:b/>
          <w:bCs/>
        </w:rPr>
      </w:pPr>
      <w:r w:rsidRPr="00F53350">
        <w:rPr>
          <w:b/>
          <w:bCs/>
        </w:rPr>
        <w:t>Beneficios de la Taxonomía de Sostenibilidad GRI:</w:t>
      </w:r>
    </w:p>
    <w:p w14:paraId="60ADCEBF" w14:textId="7DCE49DE" w:rsidR="00F53350" w:rsidRPr="00F53350" w:rsidRDefault="00F53350" w:rsidP="00F53350">
      <w:pPr>
        <w:numPr>
          <w:ilvl w:val="0"/>
          <w:numId w:val="1"/>
        </w:numPr>
        <w:jc w:val="both"/>
      </w:pPr>
      <w:r w:rsidRPr="00F53350">
        <w:rPr>
          <w:b/>
          <w:bCs/>
        </w:rPr>
        <w:t>Estándares digitalizados:</w:t>
      </w:r>
      <w:r w:rsidR="00BD7CE7">
        <w:t xml:space="preserve"> </w:t>
      </w:r>
      <w:r w:rsidRPr="00F53350">
        <w:t>pueden utilizarse para respaldar la adopción e integración de los Estándares GRI por parte de los reguladores y otros.</w:t>
      </w:r>
    </w:p>
    <w:p w14:paraId="06E15500" w14:textId="624CA963" w:rsidR="00F53350" w:rsidRPr="00F53350" w:rsidRDefault="00F53350" w:rsidP="00F53350">
      <w:pPr>
        <w:numPr>
          <w:ilvl w:val="0"/>
          <w:numId w:val="1"/>
        </w:numPr>
        <w:jc w:val="both"/>
      </w:pPr>
      <w:r w:rsidRPr="00F53350">
        <w:rPr>
          <w:b/>
          <w:bCs/>
        </w:rPr>
        <w:t>Captura y validación de datos:</w:t>
      </w:r>
      <w:r w:rsidR="00BD7CE7">
        <w:t xml:space="preserve"> </w:t>
      </w:r>
      <w:r w:rsidRPr="00F53350">
        <w:t>los puntos de datos que capturan los requisitos de presentación de informes de los Estándares GRI se reflejarán en la taxonomía, y las reglas de validación de la taxonomía garantizarán un alto nivel de calidad de los informes.</w:t>
      </w:r>
    </w:p>
    <w:p w14:paraId="0D868BCA" w14:textId="36AA8EB9" w:rsidR="00F53350" w:rsidRPr="00F53350" w:rsidRDefault="00F53350" w:rsidP="00F53350">
      <w:pPr>
        <w:numPr>
          <w:ilvl w:val="0"/>
          <w:numId w:val="1"/>
        </w:numPr>
        <w:jc w:val="both"/>
      </w:pPr>
      <w:r w:rsidRPr="00F53350">
        <w:rPr>
          <w:b/>
          <w:bCs/>
        </w:rPr>
        <w:t>Integración y pruebas para desarrolladores de herramientas:</w:t>
      </w:r>
      <w:r w:rsidR="00BD7CE7">
        <w:t xml:space="preserve"> </w:t>
      </w:r>
      <w:r w:rsidRPr="00F53350">
        <w:t>permitir a</w:t>
      </w:r>
      <w:r w:rsidR="00BD7CE7">
        <w:t xml:space="preserve"> </w:t>
      </w:r>
      <w:hyperlink r:id="rId17" w:history="1">
        <w:r w:rsidRPr="00F53350">
          <w:rPr>
            <w:rStyle w:val="Hipervnculo"/>
          </w:rPr>
          <w:t>los socios de software</w:t>
        </w:r>
      </w:hyperlink>
      <w:r w:rsidR="00BD7CE7">
        <w:t xml:space="preserve"> </w:t>
      </w:r>
      <w:r w:rsidRPr="00F53350">
        <w:t>integrar la Taxonomía de Sostenibilidad GRI en productos de presentación de informes, con soporte continuo a medida que se publican actualizaciones de los Estándares y acceso a un entorno de pruebas.</w:t>
      </w:r>
    </w:p>
    <w:p w14:paraId="7DAD6CFE" w14:textId="4868D701" w:rsidR="00F53350" w:rsidRPr="00F53350" w:rsidRDefault="00F53350" w:rsidP="00F53350">
      <w:pPr>
        <w:numPr>
          <w:ilvl w:val="0"/>
          <w:numId w:val="1"/>
        </w:numPr>
        <w:jc w:val="both"/>
      </w:pPr>
      <w:r w:rsidRPr="00F53350">
        <w:rPr>
          <w:b/>
          <w:bCs/>
        </w:rPr>
        <w:t>Presentación directa ante GRI:</w:t>
      </w:r>
      <w:r w:rsidR="00BD7CE7">
        <w:t xml:space="preserve"> </w:t>
      </w:r>
      <w:r w:rsidRPr="00F53350">
        <w:t>las organizaciones podrán realizar presentaciones ante GRI, ya sea enviando informes XBRL a nuestro portal de presentación o utilizando un formulario web exclusivo. Después de la validación, un aprobador de la organización informante debe autorizar las presentaciones.</w:t>
      </w:r>
    </w:p>
    <w:p w14:paraId="013B375A" w14:textId="0F45F873" w:rsidR="00F53350" w:rsidRPr="00F53350" w:rsidRDefault="00F53350" w:rsidP="00F53350">
      <w:pPr>
        <w:numPr>
          <w:ilvl w:val="0"/>
          <w:numId w:val="1"/>
        </w:numPr>
        <w:jc w:val="both"/>
      </w:pPr>
      <w:r w:rsidRPr="00F53350">
        <w:rPr>
          <w:b/>
          <w:bCs/>
        </w:rPr>
        <w:t>Un depósito de información reportada digitalmente</w:t>
      </w:r>
      <w:r w:rsidRPr="00F53350">
        <w:t>: proporciona una fuente de datos consistentes sobre sustentabilidad para reporteros, investigadores y otros.</w:t>
      </w:r>
    </w:p>
    <w:p w14:paraId="57C71A89" w14:textId="6FB9E2E2" w:rsidR="00F53350" w:rsidRDefault="00F53350" w:rsidP="00F53350">
      <w:pPr>
        <w:numPr>
          <w:ilvl w:val="0"/>
          <w:numId w:val="1"/>
        </w:numPr>
        <w:jc w:val="both"/>
      </w:pPr>
      <w:r w:rsidRPr="00F53350">
        <w:rPr>
          <w:b/>
          <w:bCs/>
        </w:rPr>
        <w:t>Oportunidades para permitir la interoperabilidad,</w:t>
      </w:r>
      <w:r w:rsidR="00BD7CE7">
        <w:t xml:space="preserve"> </w:t>
      </w:r>
      <w:r w:rsidRPr="00F53350">
        <w:t>ayudando a garantizar que los mismos datos se puedan utilizar para informar utilizando diferentes estándares en el futuro.</w:t>
      </w:r>
    </w:p>
    <w:p w14:paraId="4941F349" w14:textId="77777777" w:rsidR="00BD7CE7" w:rsidRPr="00F53350" w:rsidRDefault="00BD7CE7" w:rsidP="00BD7CE7">
      <w:pPr>
        <w:jc w:val="both"/>
      </w:pPr>
    </w:p>
    <w:p w14:paraId="184926AF" w14:textId="77777777" w:rsidR="00F53350" w:rsidRPr="00F53350" w:rsidRDefault="00F53350" w:rsidP="00F53350">
      <w:pPr>
        <w:jc w:val="both"/>
        <w:rPr>
          <w:b/>
          <w:bCs/>
        </w:rPr>
      </w:pPr>
      <w:r w:rsidRPr="00F53350">
        <w:rPr>
          <w:b/>
          <w:bCs/>
        </w:rPr>
        <w:lastRenderedPageBreak/>
        <w:t>De un vistazo: ¿Qué son los Estándares GRI?</w:t>
      </w:r>
    </w:p>
    <w:p w14:paraId="495DD473" w14:textId="3EBF21A8" w:rsidR="00F53350" w:rsidRPr="00F53350" w:rsidRDefault="00F53350" w:rsidP="00F53350">
      <w:pPr>
        <w:jc w:val="both"/>
      </w:pPr>
      <w:r w:rsidRPr="00F53350">
        <w:t>Durante más de 25 años,</w:t>
      </w:r>
      <w:r w:rsidR="00BD7CE7">
        <w:t xml:space="preserve"> </w:t>
      </w:r>
      <w:hyperlink r:id="rId18" w:tooltip="Acerca de GRI" w:history="1">
        <w:r w:rsidRPr="00F53350">
          <w:rPr>
            <w:rStyle w:val="Hipervnculo"/>
          </w:rPr>
          <w:t>GRI ha desarrollado</w:t>
        </w:r>
      </w:hyperlink>
      <w:r w:rsidR="00BD7CE7">
        <w:t xml:space="preserve"> </w:t>
      </w:r>
      <w:r w:rsidRPr="00F53350">
        <w:t>y mantenido el único conjunto integral de estándares de informes de sostenibilidad centrados en los impactos que las organizaciones tienen en el mundo que las rodea. Los Estándares GRI son los estándares de sostenibilidad más utilizados en todo el mundo: el 78% de las 250 empresas más grandes del mundo por ingresos los adoptan para la elaboración de informes de sostenibilidad, y se hace referencia a ellos en más de 289 políticas de 102 países.</w:t>
      </w:r>
    </w:p>
    <w:p w14:paraId="2FAC278E" w14:textId="77777777" w:rsidR="00F53350" w:rsidRPr="00F53350" w:rsidRDefault="00F53350" w:rsidP="00F53350">
      <w:pPr>
        <w:jc w:val="both"/>
      </w:pPr>
      <w:r w:rsidRPr="00F53350">
        <w:t>Este enfoque en los impactos de las organizaciones distingue a GRI de la mayoría de otros estándares y marcos, como los Estándares de Divulgación de Sostenibilidad IFRS y SASB, que se enfocan en revelar riesgos y oportunidades financieros relacionados con la sostenibilidad.</w:t>
      </w:r>
    </w:p>
    <w:p w14:paraId="7A763C03" w14:textId="77777777" w:rsidR="00F53350" w:rsidRPr="00F53350" w:rsidRDefault="00F53350" w:rsidP="00F53350">
      <w:pPr>
        <w:jc w:val="both"/>
      </w:pPr>
      <w:r w:rsidRPr="00F53350">
        <w:t>Las Normas Europeas de Información sobre Sostenibilidad (ESRS) adoptan un enfoque de 'doble materialidad' que incluye divulgaciones tanto financieras como no financieras. Como resultado del Acuerdo de Cooperación entre GRI y EFRAG, las definiciones, conceptos y divulgaciones sobre los impactos en los dos Estándares están total o estrechamente alineados. GRI mantiene su compromiso de continuar su trabajo con EFRAG en la construcción conjunta de futuros estándares ESRS, así como con otros reguladores de todo el mundo que adoptan la presentación de informes de divulgación de sostenibilidad no financiera.</w:t>
      </w:r>
    </w:p>
    <w:p w14:paraId="2339717A" w14:textId="77777777" w:rsidR="00F53350" w:rsidRPr="00F53350" w:rsidRDefault="00F53350" w:rsidP="00F53350">
      <w:pPr>
        <w:jc w:val="both"/>
        <w:rPr>
          <w:b/>
          <w:bCs/>
        </w:rPr>
      </w:pPr>
      <w:r w:rsidRPr="00F53350">
        <w:rPr>
          <w:b/>
          <w:bCs/>
        </w:rPr>
        <w:t>Recursos:</w:t>
      </w:r>
    </w:p>
    <w:p w14:paraId="6DC32531" w14:textId="77777777" w:rsidR="00F53350" w:rsidRPr="00F53350" w:rsidRDefault="00F53350" w:rsidP="00F53350">
      <w:pPr>
        <w:jc w:val="both"/>
      </w:pPr>
      <w:r w:rsidRPr="00F53350">
        <w:t>Los siguientes recursos brindan más información sobre el [borrador] Taxonomía de Sostenibilidad de GRI, incluidos ejemplos ilustrativos. Para participar en la consulta, por favor complete nuestro cuestionario.</w:t>
      </w:r>
    </w:p>
    <w:p w14:paraId="7276BAC4" w14:textId="77777777" w:rsidR="00F53350" w:rsidRPr="00F53350" w:rsidRDefault="00B041F8" w:rsidP="00F53350">
      <w:pPr>
        <w:numPr>
          <w:ilvl w:val="0"/>
          <w:numId w:val="2"/>
        </w:numPr>
        <w:jc w:val="both"/>
      </w:pPr>
      <w:hyperlink r:id="rId19" w:tooltip="Borrador de Taxonomía de Sostenibilidad GRI (archivo .zip)" w:history="1">
        <w:r w:rsidR="00F53350" w:rsidRPr="00F53350">
          <w:rPr>
            <w:rStyle w:val="Hipervnculo"/>
          </w:rPr>
          <w:t>Borrador de Taxonomía de Sostenibilidad GRI (archivo .zip)</w:t>
        </w:r>
      </w:hyperlink>
    </w:p>
    <w:p w14:paraId="4FE7D5AE" w14:textId="5B4942E3" w:rsidR="00F53350" w:rsidRPr="00F53350" w:rsidRDefault="00B041F8" w:rsidP="00F53350">
      <w:pPr>
        <w:numPr>
          <w:ilvl w:val="0"/>
          <w:numId w:val="2"/>
        </w:numPr>
        <w:jc w:val="both"/>
      </w:pPr>
      <w:hyperlink r:id="rId20" w:tooltip="Borrador de Taxonomía de Sostenibilidad GRI (archivo excel)" w:history="1">
        <w:r w:rsidR="00F53350" w:rsidRPr="00F53350">
          <w:rPr>
            <w:rStyle w:val="Hipervnculo"/>
          </w:rPr>
          <w:t>Borrador de Taxonomía de Sostenibilidad GRI (</w:t>
        </w:r>
        <w:r w:rsidR="00E64E33" w:rsidRPr="00F53350">
          <w:rPr>
            <w:rStyle w:val="Hipervnculo"/>
          </w:rPr>
          <w:t>archivo. excel</w:t>
        </w:r>
        <w:r w:rsidR="00F53350" w:rsidRPr="00F53350">
          <w:rPr>
            <w:rStyle w:val="Hipervnculo"/>
          </w:rPr>
          <w:t>)</w:t>
        </w:r>
      </w:hyperlink>
    </w:p>
    <w:p w14:paraId="0BFD6462" w14:textId="77777777" w:rsidR="00F53350" w:rsidRPr="00F53350" w:rsidRDefault="00B041F8" w:rsidP="00F53350">
      <w:pPr>
        <w:numPr>
          <w:ilvl w:val="0"/>
          <w:numId w:val="2"/>
        </w:numPr>
        <w:jc w:val="both"/>
      </w:pPr>
      <w:hyperlink r:id="rId21" w:tooltip="6 Guía de Implementación y Arquitectura de la Taxonomía de Sostenibilidad de GRI Final para Consulta Pública" w:history="1">
        <w:r w:rsidR="00F53350" w:rsidRPr="00F53350">
          <w:rPr>
            <w:rStyle w:val="Hipervnculo"/>
          </w:rPr>
          <w:t>Guía de implementación y arquitectura de la taxonomía de sostenibilidad GRI</w:t>
        </w:r>
      </w:hyperlink>
      <w:r w:rsidR="00F53350" w:rsidRPr="00F53350">
        <w:t> (.doc)</w:t>
      </w:r>
    </w:p>
    <w:p w14:paraId="1300B3DC" w14:textId="77777777" w:rsidR="00F53350" w:rsidRPr="00F53350" w:rsidRDefault="00B041F8" w:rsidP="00F53350">
      <w:pPr>
        <w:numPr>
          <w:ilvl w:val="0"/>
          <w:numId w:val="2"/>
        </w:numPr>
        <w:jc w:val="both"/>
      </w:pPr>
      <w:hyperlink r:id="rId22" w:tooltip="Ejemplos ilustrativos Instancias Ixbrl 2024 06 11" w:history="1">
        <w:r w:rsidR="00F53350" w:rsidRPr="00F53350">
          <w:rPr>
            <w:rStyle w:val="Hipervnculo"/>
          </w:rPr>
          <w:t>Ejemplos ilustrativos (instancias iXBRL)</w:t>
        </w:r>
      </w:hyperlink>
      <w:r w:rsidR="00F53350" w:rsidRPr="00F53350">
        <w:t> </w:t>
      </w:r>
    </w:p>
    <w:p w14:paraId="3EA64647" w14:textId="77777777" w:rsidR="00F53350" w:rsidRPr="00F53350" w:rsidRDefault="00F53350" w:rsidP="00F53350">
      <w:pPr>
        <w:jc w:val="both"/>
        <w:rPr>
          <w:b/>
          <w:bCs/>
        </w:rPr>
      </w:pPr>
      <w:r w:rsidRPr="00F53350">
        <w:rPr>
          <w:b/>
          <w:bCs/>
        </w:rPr>
        <w:t>Eventos:</w:t>
      </w:r>
    </w:p>
    <w:p w14:paraId="0BE2F646" w14:textId="77777777" w:rsidR="00F53350" w:rsidRPr="00F53350" w:rsidRDefault="00F53350" w:rsidP="00F53350">
      <w:pPr>
        <w:jc w:val="both"/>
      </w:pPr>
      <w:r w:rsidRPr="00F53350">
        <w:t>Programaremos un seminario web a principios de julio para presentar el [borrador] Taxonomía de Sostenibilidad GRI; ¡pronto se anunciarán más detalles!</w:t>
      </w:r>
    </w:p>
    <w:p w14:paraId="5EAED3D7" w14:textId="77777777" w:rsidR="00F53350" w:rsidRDefault="00F53350" w:rsidP="00C00707">
      <w:pPr>
        <w:jc w:val="both"/>
      </w:pPr>
    </w:p>
    <w:p w14:paraId="6F8307D5" w14:textId="04200AE6" w:rsidR="00F53350" w:rsidRDefault="00F53350" w:rsidP="00C00707">
      <w:pPr>
        <w:jc w:val="both"/>
      </w:pPr>
      <w:r w:rsidRPr="00F53350">
        <w:rPr>
          <w:noProof/>
        </w:rPr>
        <w:lastRenderedPageBreak/>
        <w:drawing>
          <wp:inline distT="0" distB="0" distL="0" distR="0" wp14:anchorId="4C8BE119" wp14:editId="48050866">
            <wp:extent cx="5612130" cy="1896745"/>
            <wp:effectExtent l="0" t="0" r="762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1896745"/>
                    </a:xfrm>
                    <a:prstGeom prst="rect">
                      <a:avLst/>
                    </a:prstGeom>
                  </pic:spPr>
                </pic:pic>
              </a:graphicData>
            </a:graphic>
          </wp:inline>
        </w:drawing>
      </w:r>
    </w:p>
    <w:p w14:paraId="5C65211F" w14:textId="77777777" w:rsidR="00F53350" w:rsidRPr="00F53350" w:rsidRDefault="00F53350" w:rsidP="00F53350">
      <w:pPr>
        <w:jc w:val="both"/>
        <w:rPr>
          <w:b/>
          <w:bCs/>
        </w:rPr>
      </w:pPr>
      <w:r w:rsidRPr="00F53350">
        <w:rPr>
          <w:b/>
          <w:bCs/>
        </w:rPr>
        <w:t>Consulta para especialistas en sostenibilidad.</w:t>
      </w:r>
    </w:p>
    <w:p w14:paraId="2EB48565" w14:textId="77777777" w:rsidR="00F53350" w:rsidRPr="00F53350" w:rsidRDefault="00F53350" w:rsidP="00F53350">
      <w:pPr>
        <w:jc w:val="both"/>
      </w:pPr>
      <w:r w:rsidRPr="00F53350">
        <w:t>¿Nuevo en las taxonomías digitales? ¡Obtenga más información sobre el enfoque GRI y dé su opinión!</w:t>
      </w:r>
    </w:p>
    <w:p w14:paraId="5E6E3314" w14:textId="77777777" w:rsidR="00F53350" w:rsidRPr="00F53350" w:rsidRDefault="00F53350" w:rsidP="00F53350">
      <w:pPr>
        <w:jc w:val="both"/>
        <w:rPr>
          <w:b/>
          <w:bCs/>
        </w:rPr>
      </w:pPr>
      <w:r w:rsidRPr="00F53350">
        <w:rPr>
          <w:b/>
          <w:bCs/>
        </w:rPr>
        <w:t>Digitalizando nuestros estándares</w:t>
      </w:r>
    </w:p>
    <w:p w14:paraId="44AA79BB" w14:textId="77777777" w:rsidR="00F53350" w:rsidRPr="00F53350" w:rsidRDefault="00F53350" w:rsidP="00F53350">
      <w:pPr>
        <w:jc w:val="both"/>
      </w:pPr>
      <w:r w:rsidRPr="00F53350">
        <w:t>Nuestra taxonomía permite a las organizaciones emitir informes en formato digital: una de las razones por las que los Estándares GRI son el lenguaje global de los informes de sostenibilidad.</w:t>
      </w:r>
    </w:p>
    <w:p w14:paraId="5B0CD140" w14:textId="2C638A35" w:rsidR="00F53350" w:rsidRPr="00F53350" w:rsidRDefault="00F53350" w:rsidP="00F53350">
      <w:pPr>
        <w:jc w:val="both"/>
      </w:pPr>
      <w:r w:rsidRPr="00F53350">
        <w:t>Únase a la consulta completando</w:t>
      </w:r>
      <w:r w:rsidR="00BD7CE7">
        <w:t xml:space="preserve"> </w:t>
      </w:r>
      <w:hyperlink r:id="rId24" w:tgtFrame="_blank" w:history="1">
        <w:r w:rsidRPr="00F53350">
          <w:rPr>
            <w:rStyle w:val="Hipervnculo"/>
          </w:rPr>
          <w:t>nuestro cuestionario</w:t>
        </w:r>
      </w:hyperlink>
      <w:r w:rsidRPr="00F53350">
        <w:t>.</w:t>
      </w:r>
    </w:p>
    <w:p w14:paraId="15C467AF" w14:textId="77777777" w:rsidR="00F53350" w:rsidRPr="00F53350" w:rsidRDefault="00F53350" w:rsidP="00F53350">
      <w:pPr>
        <w:jc w:val="both"/>
      </w:pPr>
      <w:r w:rsidRPr="00F53350">
        <w:t>Utilizando la taxonomía, las organizaciones pueden aplicar etiquetas digitales a la información reportada utilizando los Estándares GRI. Hacer que los datos reportados sean legibles por máquinas facilitará la investigación, el análisis y la toma de decisiones transparentes con rapidez.</w:t>
      </w:r>
    </w:p>
    <w:p w14:paraId="37036866" w14:textId="77777777" w:rsidR="00F53350" w:rsidRPr="00F53350" w:rsidRDefault="00F53350" w:rsidP="00F53350">
      <w:pPr>
        <w:jc w:val="both"/>
        <w:rPr>
          <w:b/>
          <w:bCs/>
        </w:rPr>
      </w:pPr>
      <w:r w:rsidRPr="00F53350">
        <w:rPr>
          <w:b/>
          <w:bCs/>
        </w:rPr>
        <w:t>La taxonomía de Sostenibilidad GRI ofrecerá:</w:t>
      </w:r>
    </w:p>
    <w:p w14:paraId="18C8DC23" w14:textId="52B89B30" w:rsidR="00F53350" w:rsidRPr="00F53350" w:rsidRDefault="00F53350" w:rsidP="00F53350">
      <w:pPr>
        <w:numPr>
          <w:ilvl w:val="0"/>
          <w:numId w:val="3"/>
        </w:numPr>
        <w:jc w:val="both"/>
      </w:pPr>
      <w:r w:rsidRPr="00F53350">
        <w:rPr>
          <w:b/>
          <w:bCs/>
        </w:rPr>
        <w:t>Opciones de generación de informes ampliadas:</w:t>
      </w:r>
      <w:r w:rsidR="00BD7CE7">
        <w:t xml:space="preserve"> </w:t>
      </w:r>
      <w:r w:rsidRPr="00F53350">
        <w:t>permite a las empresas proporcionar informes basados en los estándares GRI en XBRL junto con formatos tradicionales como pdf;</w:t>
      </w:r>
    </w:p>
    <w:p w14:paraId="6CB1DE57" w14:textId="2165A433" w:rsidR="00F53350" w:rsidRPr="00F53350" w:rsidRDefault="00F53350" w:rsidP="00F53350">
      <w:pPr>
        <w:numPr>
          <w:ilvl w:val="0"/>
          <w:numId w:val="3"/>
        </w:numPr>
        <w:jc w:val="both"/>
      </w:pPr>
      <w:r w:rsidRPr="00F53350">
        <w:rPr>
          <w:b/>
          <w:bCs/>
        </w:rPr>
        <w:t>Un</w:t>
      </w:r>
      <w:r w:rsidR="00E86A2A">
        <w:rPr>
          <w:b/>
          <w:bCs/>
        </w:rPr>
        <w:t xml:space="preserve"> </w:t>
      </w:r>
      <w:r w:rsidRPr="00F53350">
        <w:rPr>
          <w:b/>
          <w:bCs/>
        </w:rPr>
        <w:t>depósito</w:t>
      </w:r>
      <w:r w:rsidR="00E86A2A">
        <w:rPr>
          <w:b/>
          <w:bCs/>
        </w:rPr>
        <w:t xml:space="preserve"> </w:t>
      </w:r>
      <w:r w:rsidRPr="00F53350">
        <w:rPr>
          <w:b/>
          <w:bCs/>
        </w:rPr>
        <w:t>digital</w:t>
      </w:r>
      <w:r w:rsidR="00E86A2A">
        <w:t xml:space="preserve"> </w:t>
      </w:r>
      <w:r w:rsidRPr="00F53350">
        <w:t>de información proporciona una fuente de datos consistentes sobre sostenibilidad relacionados con el impacto que serán útiles para periodistas, investigadores y otros;</w:t>
      </w:r>
    </w:p>
    <w:p w14:paraId="7EAB8F36" w14:textId="1A8B889D" w:rsidR="00F53350" w:rsidRPr="00F53350" w:rsidRDefault="00F53350" w:rsidP="00F53350">
      <w:pPr>
        <w:numPr>
          <w:ilvl w:val="0"/>
          <w:numId w:val="3"/>
        </w:numPr>
        <w:jc w:val="both"/>
      </w:pPr>
      <w:r w:rsidRPr="00F53350">
        <w:rPr>
          <w:b/>
          <w:bCs/>
        </w:rPr>
        <w:t>Validación automática:</w:t>
      </w:r>
      <w:r w:rsidR="00E86A2A">
        <w:t xml:space="preserve"> </w:t>
      </w:r>
      <w:r w:rsidRPr="00F53350">
        <w:t>garantiza que el informe de sostenibilidad de una empresa cumple con los requisitos de presentación de informes "de conformidad" o "con referencia a" los Estándares GRI.</w:t>
      </w:r>
    </w:p>
    <w:p w14:paraId="16A20221" w14:textId="2F96FD36" w:rsidR="00F53350" w:rsidRPr="00F53350" w:rsidRDefault="00F53350" w:rsidP="00F53350">
      <w:pPr>
        <w:numPr>
          <w:ilvl w:val="0"/>
          <w:numId w:val="3"/>
        </w:numPr>
        <w:jc w:val="both"/>
      </w:pPr>
      <w:r w:rsidRPr="00F53350">
        <w:rPr>
          <w:b/>
          <w:bCs/>
        </w:rPr>
        <w:t>Oportunidades de interoperabilidad:</w:t>
      </w:r>
      <w:r w:rsidR="00E86A2A">
        <w:t xml:space="preserve"> </w:t>
      </w:r>
      <w:r w:rsidRPr="00F53350">
        <w:t>ayudar a garantizar que los mismos datos se puedan utilizar para informar con diferentes estándares en el futuro.</w:t>
      </w:r>
    </w:p>
    <w:p w14:paraId="71D4FA4F" w14:textId="77777777" w:rsidR="00F53350" w:rsidRPr="00F53350" w:rsidRDefault="00F53350" w:rsidP="00F53350">
      <w:pPr>
        <w:jc w:val="both"/>
      </w:pPr>
      <w:r w:rsidRPr="00F53350">
        <w:t>Al utilizar la taxonomía digital para informar, las organizaciones pueden elegir entre:</w:t>
      </w:r>
    </w:p>
    <w:p w14:paraId="12939413" w14:textId="77777777" w:rsidR="00F53350" w:rsidRPr="00F53350" w:rsidRDefault="00F53350" w:rsidP="00F53350">
      <w:pPr>
        <w:numPr>
          <w:ilvl w:val="0"/>
          <w:numId w:val="4"/>
        </w:numPr>
        <w:jc w:val="both"/>
      </w:pPr>
      <w:r w:rsidRPr="00F53350">
        <w:t>preparar informes XBRL ellos mismos, utilizando software dedicado o servicios especializados, o</w:t>
      </w:r>
    </w:p>
    <w:p w14:paraId="42A45B9E" w14:textId="77777777" w:rsidR="00F53350" w:rsidRPr="00F53350" w:rsidRDefault="00F53350" w:rsidP="00F53350">
      <w:pPr>
        <w:numPr>
          <w:ilvl w:val="0"/>
          <w:numId w:val="4"/>
        </w:numPr>
        <w:jc w:val="both"/>
      </w:pPr>
      <w:r w:rsidRPr="00F53350">
        <w:t>ingresando la información reportada directamente en un formulario web en el sitio web de GRI.</w:t>
      </w:r>
    </w:p>
    <w:p w14:paraId="72D051A1" w14:textId="77777777" w:rsidR="00F53350" w:rsidRPr="00F53350" w:rsidRDefault="00F53350" w:rsidP="00F53350">
      <w:pPr>
        <w:jc w:val="both"/>
        <w:rPr>
          <w:b/>
          <w:bCs/>
        </w:rPr>
      </w:pPr>
      <w:r w:rsidRPr="00F53350">
        <w:rPr>
          <w:b/>
          <w:bCs/>
        </w:rPr>
        <w:lastRenderedPageBreak/>
        <w:t>Recursos:</w:t>
      </w:r>
    </w:p>
    <w:p w14:paraId="3CD893E9" w14:textId="77777777" w:rsidR="00F53350" w:rsidRPr="00F53350" w:rsidRDefault="00F53350" w:rsidP="00F53350">
      <w:pPr>
        <w:jc w:val="both"/>
      </w:pPr>
      <w:r w:rsidRPr="00F53350">
        <w:t>Los siguientes recursos explican cómo se desarrolló la Taxonomía de Sostenibilidad GRI. Para participar en la consulta, por favor complete nuestro cuestionario.</w:t>
      </w:r>
    </w:p>
    <w:p w14:paraId="5BAF2663" w14:textId="77777777" w:rsidR="00F53350" w:rsidRPr="00F53350" w:rsidRDefault="00B041F8" w:rsidP="00F53350">
      <w:pPr>
        <w:numPr>
          <w:ilvl w:val="0"/>
          <w:numId w:val="5"/>
        </w:numPr>
        <w:jc w:val="both"/>
      </w:pPr>
      <w:hyperlink r:id="rId25" w:tooltip="1 Introducción a la Taxonomía de Sostenibilidad de GRI Final para consulta pública" w:history="1">
        <w:r w:rsidR="00F53350" w:rsidRPr="00F53350">
          <w:rPr>
            <w:rStyle w:val="Hipervnculo"/>
          </w:rPr>
          <w:t>Introducción a la Taxonomía de Sostenibilidad GRI</w:t>
        </w:r>
      </w:hyperlink>
    </w:p>
    <w:p w14:paraId="69608E83" w14:textId="77777777" w:rsidR="00F53350" w:rsidRPr="00F53350" w:rsidRDefault="00B041F8" w:rsidP="00F53350">
      <w:pPr>
        <w:numPr>
          <w:ilvl w:val="0"/>
          <w:numId w:val="5"/>
        </w:numPr>
        <w:jc w:val="both"/>
      </w:pPr>
      <w:hyperlink r:id="rId26" w:tooltip="2 Conjunto completo de puntos de datos finales para consulta" w:history="1">
        <w:r w:rsidR="00F53350" w:rsidRPr="00F53350">
          <w:rPr>
            <w:rStyle w:val="Hipervnculo"/>
          </w:rPr>
          <w:t>Lista completa de puntos de datos en la Taxonomía de Sostenibilidad GRI</w:t>
        </w:r>
      </w:hyperlink>
    </w:p>
    <w:p w14:paraId="38481CAB" w14:textId="77777777" w:rsidR="00F53350" w:rsidRPr="00F53350" w:rsidRDefault="00B041F8" w:rsidP="00F53350">
      <w:pPr>
        <w:numPr>
          <w:ilvl w:val="0"/>
          <w:numId w:val="5"/>
        </w:numPr>
        <w:jc w:val="both"/>
      </w:pPr>
      <w:hyperlink r:id="rId27" w:tooltip="3 ejemplos de contenidos GRI etiquetados" w:history="1">
        <w:r w:rsidR="00F53350" w:rsidRPr="00F53350">
          <w:rPr>
            <w:rStyle w:val="Hipervnculo"/>
          </w:rPr>
          <w:t>Ejemplos de contenidos GRI etiquetados</w:t>
        </w:r>
      </w:hyperlink>
    </w:p>
    <w:p w14:paraId="7F9C7DD6" w14:textId="77777777" w:rsidR="00F53350" w:rsidRPr="00F53350" w:rsidRDefault="00F53350" w:rsidP="00F53350">
      <w:pPr>
        <w:jc w:val="both"/>
        <w:rPr>
          <w:b/>
          <w:bCs/>
        </w:rPr>
      </w:pPr>
      <w:r w:rsidRPr="00F53350">
        <w:rPr>
          <w:b/>
          <w:bCs/>
        </w:rPr>
        <w:t>Eventos:</w:t>
      </w:r>
    </w:p>
    <w:p w14:paraId="3194812A" w14:textId="77777777" w:rsidR="00F53350" w:rsidRPr="00F53350" w:rsidRDefault="00F53350" w:rsidP="00F53350">
      <w:pPr>
        <w:jc w:val="both"/>
      </w:pPr>
      <w:r w:rsidRPr="00F53350">
        <w:t>Programaremos un seminario web a principios de julio para presentar el [borrador] Taxonomía de Sostenibilidad GRI; ¡pronto se anunciarán más detalles!</w:t>
      </w:r>
    </w:p>
    <w:p w14:paraId="5C4EC4DD" w14:textId="77777777" w:rsidR="00F53350" w:rsidRDefault="00F53350" w:rsidP="00C00707">
      <w:pPr>
        <w:jc w:val="both"/>
      </w:pPr>
    </w:p>
    <w:p w14:paraId="569AF2F9" w14:textId="77777777" w:rsidR="00C00707" w:rsidRDefault="00C00707" w:rsidP="00C00707">
      <w:pPr>
        <w:jc w:val="both"/>
      </w:pPr>
    </w:p>
    <w:sectPr w:rsidR="00C0070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2112F"/>
    <w:multiLevelType w:val="multilevel"/>
    <w:tmpl w:val="E75EC3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146E6988"/>
    <w:multiLevelType w:val="multilevel"/>
    <w:tmpl w:val="8DDE28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2AB820AA"/>
    <w:multiLevelType w:val="multilevel"/>
    <w:tmpl w:val="8B9E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F00DD4"/>
    <w:multiLevelType w:val="multilevel"/>
    <w:tmpl w:val="40402D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9D003A"/>
    <w:multiLevelType w:val="multilevel"/>
    <w:tmpl w:val="A5183A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4"/>
    <w:lvlOverride w:ilvl="0">
      <w:lvl w:ilvl="0">
        <w:numFmt w:val="bullet"/>
        <w:lvlText w:val=""/>
        <w:lvlJc w:val="left"/>
        <w:pPr>
          <w:tabs>
            <w:tab w:val="num" w:pos="720"/>
          </w:tabs>
          <w:ind w:left="720" w:hanging="360"/>
        </w:pPr>
        <w:rPr>
          <w:rFonts w:ascii="Symbol" w:hAnsi="Symbol" w:hint="default"/>
          <w:sz w:val="20"/>
        </w:rPr>
      </w:lvl>
    </w:lvlOverride>
  </w:num>
  <w:num w:numId="2">
    <w:abstractNumId w:val="3"/>
    <w:lvlOverride w:ilvl="0">
      <w:lvl w:ilvl="0">
        <w:numFmt w:val="bullet"/>
        <w:lvlText w:val=""/>
        <w:lvlJc w:val="left"/>
        <w:pPr>
          <w:tabs>
            <w:tab w:val="num" w:pos="720"/>
          </w:tabs>
          <w:ind w:left="720" w:hanging="360"/>
        </w:pPr>
        <w:rPr>
          <w:rFonts w:ascii="Symbol" w:hAnsi="Symbol" w:hint="default"/>
          <w:sz w:val="20"/>
        </w:rPr>
      </w:lvl>
    </w:lvlOverride>
  </w:num>
  <w:num w:numId="3">
    <w:abstractNumId w:val="2"/>
  </w:num>
  <w:num w:numId="4">
    <w:abstractNumId w:val="0"/>
    <w:lvlOverride w:ilvl="0">
      <w:lvl w:ilvl="0">
        <w:numFmt w:val="bullet"/>
        <w:lvlText w:val=""/>
        <w:lvlJc w:val="left"/>
        <w:pPr>
          <w:tabs>
            <w:tab w:val="num" w:pos="720"/>
          </w:tabs>
          <w:ind w:left="720" w:hanging="360"/>
        </w:pPr>
        <w:rPr>
          <w:rFonts w:ascii="Symbol" w:hAnsi="Symbol" w:hint="default"/>
          <w:sz w:val="20"/>
        </w:rPr>
      </w:lvl>
    </w:lvlOverride>
  </w:num>
  <w:num w:numId="5">
    <w:abstractNumId w:val="1"/>
    <w:lvlOverride w:ilvl="0">
      <w:lvl w:ilvl="0">
        <w:numFmt w:val="bullet"/>
        <w:lvlText w:val=""/>
        <w:lvlJc w:val="left"/>
        <w:pPr>
          <w:tabs>
            <w:tab w:val="num" w:pos="720"/>
          </w:tabs>
          <w:ind w:left="72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707"/>
    <w:rsid w:val="0058767F"/>
    <w:rsid w:val="00BD7CE7"/>
    <w:rsid w:val="00C00707"/>
    <w:rsid w:val="00E64E33"/>
    <w:rsid w:val="00E86A2A"/>
    <w:rsid w:val="00F533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A2CE4"/>
  <w15:chartTrackingRefBased/>
  <w15:docId w15:val="{F3F498F1-EE02-4B91-B3D1-78BD62D8C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00707"/>
    <w:rPr>
      <w:color w:val="0563C1" w:themeColor="hyperlink"/>
      <w:u w:val="single"/>
    </w:rPr>
  </w:style>
  <w:style w:type="character" w:styleId="Mencinsinresolver">
    <w:name w:val="Unresolved Mention"/>
    <w:basedOn w:val="Fuentedeprrafopredeter"/>
    <w:uiPriority w:val="99"/>
    <w:semiHidden/>
    <w:unhideWhenUsed/>
    <w:rsid w:val="00C007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62539">
      <w:bodyDiv w:val="1"/>
      <w:marLeft w:val="0"/>
      <w:marRight w:val="0"/>
      <w:marTop w:val="0"/>
      <w:marBottom w:val="0"/>
      <w:divBdr>
        <w:top w:val="none" w:sz="0" w:space="0" w:color="auto"/>
        <w:left w:val="none" w:sz="0" w:space="0" w:color="auto"/>
        <w:bottom w:val="none" w:sz="0" w:space="0" w:color="auto"/>
        <w:right w:val="none" w:sz="0" w:space="0" w:color="auto"/>
      </w:divBdr>
      <w:divsChild>
        <w:div w:id="833256049">
          <w:marLeft w:val="0"/>
          <w:marRight w:val="0"/>
          <w:marTop w:val="840"/>
          <w:marBottom w:val="840"/>
          <w:divBdr>
            <w:top w:val="none" w:sz="0" w:space="0" w:color="auto"/>
            <w:left w:val="none" w:sz="0" w:space="0" w:color="auto"/>
            <w:bottom w:val="none" w:sz="0" w:space="0" w:color="auto"/>
            <w:right w:val="none" w:sz="0" w:space="0" w:color="auto"/>
          </w:divBdr>
          <w:divsChild>
            <w:div w:id="105010083">
              <w:marLeft w:val="0"/>
              <w:marRight w:val="0"/>
              <w:marTop w:val="0"/>
              <w:marBottom w:val="0"/>
              <w:divBdr>
                <w:top w:val="none" w:sz="0" w:space="0" w:color="auto"/>
                <w:left w:val="none" w:sz="0" w:space="0" w:color="auto"/>
                <w:bottom w:val="none" w:sz="0" w:space="0" w:color="auto"/>
                <w:right w:val="none" w:sz="0" w:space="0" w:color="auto"/>
              </w:divBdr>
              <w:divsChild>
                <w:div w:id="89419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720142">
          <w:marLeft w:val="0"/>
          <w:marRight w:val="0"/>
          <w:marTop w:val="840"/>
          <w:marBottom w:val="840"/>
          <w:divBdr>
            <w:top w:val="none" w:sz="0" w:space="0" w:color="auto"/>
            <w:left w:val="none" w:sz="0" w:space="0" w:color="auto"/>
            <w:bottom w:val="none" w:sz="0" w:space="0" w:color="auto"/>
            <w:right w:val="none" w:sz="0" w:space="0" w:color="auto"/>
          </w:divBdr>
          <w:divsChild>
            <w:div w:id="706680789">
              <w:marLeft w:val="0"/>
              <w:marRight w:val="0"/>
              <w:marTop w:val="0"/>
              <w:marBottom w:val="0"/>
              <w:divBdr>
                <w:top w:val="none" w:sz="0" w:space="0" w:color="auto"/>
                <w:left w:val="none" w:sz="0" w:space="0" w:color="auto"/>
                <w:bottom w:val="none" w:sz="0" w:space="0" w:color="auto"/>
                <w:right w:val="none" w:sz="0" w:space="0" w:color="auto"/>
              </w:divBdr>
              <w:divsChild>
                <w:div w:id="93022057">
                  <w:marLeft w:val="-300"/>
                  <w:marRight w:val="-300"/>
                  <w:marTop w:val="720"/>
                  <w:marBottom w:val="720"/>
                  <w:divBdr>
                    <w:top w:val="none" w:sz="0" w:space="0" w:color="auto"/>
                    <w:left w:val="none" w:sz="0" w:space="0" w:color="auto"/>
                    <w:bottom w:val="none" w:sz="0" w:space="0" w:color="auto"/>
                    <w:right w:val="none" w:sz="0" w:space="0" w:color="auto"/>
                  </w:divBdr>
                  <w:divsChild>
                    <w:div w:id="656038689">
                      <w:marLeft w:val="0"/>
                      <w:marRight w:val="0"/>
                      <w:marTop w:val="0"/>
                      <w:marBottom w:val="0"/>
                      <w:divBdr>
                        <w:top w:val="none" w:sz="0" w:space="0" w:color="auto"/>
                        <w:left w:val="none" w:sz="0" w:space="0" w:color="auto"/>
                        <w:bottom w:val="none" w:sz="0" w:space="0" w:color="auto"/>
                        <w:right w:val="none" w:sz="0" w:space="0" w:color="auto"/>
                      </w:divBdr>
                      <w:divsChild>
                        <w:div w:id="548809628">
                          <w:marLeft w:val="0"/>
                          <w:marRight w:val="0"/>
                          <w:marTop w:val="0"/>
                          <w:marBottom w:val="0"/>
                          <w:divBdr>
                            <w:top w:val="none" w:sz="0" w:space="0" w:color="auto"/>
                            <w:left w:val="none" w:sz="0" w:space="0" w:color="auto"/>
                            <w:bottom w:val="none" w:sz="0" w:space="0" w:color="auto"/>
                            <w:right w:val="none" w:sz="0" w:space="0" w:color="auto"/>
                          </w:divBdr>
                        </w:div>
                      </w:divsChild>
                    </w:div>
                    <w:div w:id="1073696673">
                      <w:marLeft w:val="0"/>
                      <w:marRight w:val="0"/>
                      <w:marTop w:val="0"/>
                      <w:marBottom w:val="0"/>
                      <w:divBdr>
                        <w:top w:val="none" w:sz="0" w:space="0" w:color="auto"/>
                        <w:left w:val="none" w:sz="0" w:space="0" w:color="auto"/>
                        <w:bottom w:val="none" w:sz="0" w:space="0" w:color="auto"/>
                        <w:right w:val="none" w:sz="0" w:space="0" w:color="auto"/>
                      </w:divBdr>
                      <w:divsChild>
                        <w:div w:id="84501843">
                          <w:marLeft w:val="0"/>
                          <w:marRight w:val="0"/>
                          <w:marTop w:val="0"/>
                          <w:marBottom w:val="0"/>
                          <w:divBdr>
                            <w:top w:val="none" w:sz="0" w:space="0" w:color="auto"/>
                            <w:left w:val="none" w:sz="0" w:space="0" w:color="auto"/>
                            <w:bottom w:val="none" w:sz="0" w:space="0" w:color="auto"/>
                            <w:right w:val="none" w:sz="0" w:space="0" w:color="auto"/>
                          </w:divBdr>
                          <w:divsChild>
                            <w:div w:id="91147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948212">
                  <w:marLeft w:val="-300"/>
                  <w:marRight w:val="-300"/>
                  <w:marTop w:val="720"/>
                  <w:marBottom w:val="720"/>
                  <w:divBdr>
                    <w:top w:val="none" w:sz="0" w:space="0" w:color="auto"/>
                    <w:left w:val="none" w:sz="0" w:space="0" w:color="auto"/>
                    <w:bottom w:val="none" w:sz="0" w:space="0" w:color="auto"/>
                    <w:right w:val="none" w:sz="0" w:space="0" w:color="auto"/>
                  </w:divBdr>
                  <w:divsChild>
                    <w:div w:id="1360009100">
                      <w:marLeft w:val="0"/>
                      <w:marRight w:val="0"/>
                      <w:marTop w:val="0"/>
                      <w:marBottom w:val="0"/>
                      <w:divBdr>
                        <w:top w:val="none" w:sz="0" w:space="0" w:color="auto"/>
                        <w:left w:val="none" w:sz="0" w:space="0" w:color="auto"/>
                        <w:bottom w:val="none" w:sz="0" w:space="0" w:color="auto"/>
                        <w:right w:val="none" w:sz="0" w:space="0" w:color="auto"/>
                      </w:divBdr>
                      <w:divsChild>
                        <w:div w:id="43097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791620">
      <w:bodyDiv w:val="1"/>
      <w:marLeft w:val="0"/>
      <w:marRight w:val="0"/>
      <w:marTop w:val="0"/>
      <w:marBottom w:val="0"/>
      <w:divBdr>
        <w:top w:val="none" w:sz="0" w:space="0" w:color="auto"/>
        <w:left w:val="none" w:sz="0" w:space="0" w:color="auto"/>
        <w:bottom w:val="none" w:sz="0" w:space="0" w:color="auto"/>
        <w:right w:val="none" w:sz="0" w:space="0" w:color="auto"/>
      </w:divBdr>
    </w:div>
    <w:div w:id="476580374">
      <w:bodyDiv w:val="1"/>
      <w:marLeft w:val="0"/>
      <w:marRight w:val="0"/>
      <w:marTop w:val="0"/>
      <w:marBottom w:val="0"/>
      <w:divBdr>
        <w:top w:val="none" w:sz="0" w:space="0" w:color="auto"/>
        <w:left w:val="none" w:sz="0" w:space="0" w:color="auto"/>
        <w:bottom w:val="none" w:sz="0" w:space="0" w:color="auto"/>
        <w:right w:val="none" w:sz="0" w:space="0" w:color="auto"/>
      </w:divBdr>
      <w:divsChild>
        <w:div w:id="121076470">
          <w:marLeft w:val="0"/>
          <w:marRight w:val="0"/>
          <w:marTop w:val="0"/>
          <w:marBottom w:val="0"/>
          <w:divBdr>
            <w:top w:val="none" w:sz="0" w:space="0" w:color="auto"/>
            <w:left w:val="none" w:sz="0" w:space="0" w:color="auto"/>
            <w:bottom w:val="none" w:sz="0" w:space="0" w:color="auto"/>
            <w:right w:val="none" w:sz="0" w:space="0" w:color="auto"/>
          </w:divBdr>
        </w:div>
        <w:div w:id="1637952605">
          <w:marLeft w:val="0"/>
          <w:marRight w:val="0"/>
          <w:marTop w:val="300"/>
          <w:marBottom w:val="300"/>
          <w:divBdr>
            <w:top w:val="none" w:sz="0" w:space="0" w:color="auto"/>
            <w:left w:val="none" w:sz="0" w:space="0" w:color="auto"/>
            <w:bottom w:val="none" w:sz="0" w:space="0" w:color="auto"/>
            <w:right w:val="none" w:sz="0" w:space="0" w:color="auto"/>
          </w:divBdr>
        </w:div>
        <w:div w:id="138154960">
          <w:marLeft w:val="0"/>
          <w:marRight w:val="0"/>
          <w:marTop w:val="600"/>
          <w:marBottom w:val="0"/>
          <w:divBdr>
            <w:top w:val="none" w:sz="0" w:space="0" w:color="auto"/>
            <w:left w:val="none" w:sz="0" w:space="0" w:color="auto"/>
            <w:bottom w:val="none" w:sz="0" w:space="0" w:color="auto"/>
            <w:right w:val="none" w:sz="0" w:space="0" w:color="auto"/>
          </w:divBdr>
          <w:divsChild>
            <w:div w:id="61493564">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 w:id="1363097092">
      <w:bodyDiv w:val="1"/>
      <w:marLeft w:val="0"/>
      <w:marRight w:val="0"/>
      <w:marTop w:val="0"/>
      <w:marBottom w:val="0"/>
      <w:divBdr>
        <w:top w:val="none" w:sz="0" w:space="0" w:color="auto"/>
        <w:left w:val="none" w:sz="0" w:space="0" w:color="auto"/>
        <w:bottom w:val="none" w:sz="0" w:space="0" w:color="auto"/>
        <w:right w:val="none" w:sz="0" w:space="0" w:color="auto"/>
      </w:divBdr>
    </w:div>
    <w:div w:id="1972663694">
      <w:bodyDiv w:val="1"/>
      <w:marLeft w:val="0"/>
      <w:marRight w:val="0"/>
      <w:marTop w:val="0"/>
      <w:marBottom w:val="0"/>
      <w:divBdr>
        <w:top w:val="none" w:sz="0" w:space="0" w:color="auto"/>
        <w:left w:val="none" w:sz="0" w:space="0" w:color="auto"/>
        <w:bottom w:val="none" w:sz="0" w:space="0" w:color="auto"/>
        <w:right w:val="none" w:sz="0" w:space="0" w:color="auto"/>
      </w:divBdr>
      <w:divsChild>
        <w:div w:id="1232500862">
          <w:marLeft w:val="0"/>
          <w:marRight w:val="0"/>
          <w:marTop w:val="840"/>
          <w:marBottom w:val="840"/>
          <w:divBdr>
            <w:top w:val="none" w:sz="0" w:space="0" w:color="auto"/>
            <w:left w:val="none" w:sz="0" w:space="0" w:color="auto"/>
            <w:bottom w:val="none" w:sz="0" w:space="0" w:color="auto"/>
            <w:right w:val="none" w:sz="0" w:space="0" w:color="auto"/>
          </w:divBdr>
          <w:divsChild>
            <w:div w:id="1490101015">
              <w:marLeft w:val="0"/>
              <w:marRight w:val="0"/>
              <w:marTop w:val="0"/>
              <w:marBottom w:val="0"/>
              <w:divBdr>
                <w:top w:val="none" w:sz="0" w:space="0" w:color="auto"/>
                <w:left w:val="none" w:sz="0" w:space="0" w:color="auto"/>
                <w:bottom w:val="none" w:sz="0" w:space="0" w:color="auto"/>
                <w:right w:val="none" w:sz="0" w:space="0" w:color="auto"/>
              </w:divBdr>
              <w:divsChild>
                <w:div w:id="86278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19499">
          <w:marLeft w:val="0"/>
          <w:marRight w:val="0"/>
          <w:marTop w:val="840"/>
          <w:marBottom w:val="840"/>
          <w:divBdr>
            <w:top w:val="none" w:sz="0" w:space="0" w:color="auto"/>
            <w:left w:val="none" w:sz="0" w:space="0" w:color="auto"/>
            <w:bottom w:val="none" w:sz="0" w:space="0" w:color="auto"/>
            <w:right w:val="none" w:sz="0" w:space="0" w:color="auto"/>
          </w:divBdr>
          <w:divsChild>
            <w:div w:id="2083597747">
              <w:marLeft w:val="0"/>
              <w:marRight w:val="0"/>
              <w:marTop w:val="0"/>
              <w:marBottom w:val="0"/>
              <w:divBdr>
                <w:top w:val="none" w:sz="0" w:space="0" w:color="auto"/>
                <w:left w:val="none" w:sz="0" w:space="0" w:color="auto"/>
                <w:bottom w:val="none" w:sz="0" w:space="0" w:color="auto"/>
                <w:right w:val="none" w:sz="0" w:space="0" w:color="auto"/>
              </w:divBdr>
              <w:divsChild>
                <w:div w:id="1861431948">
                  <w:marLeft w:val="-300"/>
                  <w:marRight w:val="-300"/>
                  <w:marTop w:val="720"/>
                  <w:marBottom w:val="720"/>
                  <w:divBdr>
                    <w:top w:val="none" w:sz="0" w:space="0" w:color="auto"/>
                    <w:left w:val="none" w:sz="0" w:space="0" w:color="auto"/>
                    <w:bottom w:val="none" w:sz="0" w:space="0" w:color="auto"/>
                    <w:right w:val="none" w:sz="0" w:space="0" w:color="auto"/>
                  </w:divBdr>
                  <w:divsChild>
                    <w:div w:id="486361516">
                      <w:marLeft w:val="0"/>
                      <w:marRight w:val="0"/>
                      <w:marTop w:val="0"/>
                      <w:marBottom w:val="0"/>
                      <w:divBdr>
                        <w:top w:val="none" w:sz="0" w:space="0" w:color="auto"/>
                        <w:left w:val="none" w:sz="0" w:space="0" w:color="auto"/>
                        <w:bottom w:val="none" w:sz="0" w:space="0" w:color="auto"/>
                        <w:right w:val="none" w:sz="0" w:space="0" w:color="auto"/>
                      </w:divBdr>
                      <w:divsChild>
                        <w:div w:id="786586654">
                          <w:marLeft w:val="0"/>
                          <w:marRight w:val="0"/>
                          <w:marTop w:val="0"/>
                          <w:marBottom w:val="0"/>
                          <w:divBdr>
                            <w:top w:val="none" w:sz="0" w:space="0" w:color="auto"/>
                            <w:left w:val="none" w:sz="0" w:space="0" w:color="auto"/>
                            <w:bottom w:val="none" w:sz="0" w:space="0" w:color="auto"/>
                            <w:right w:val="none" w:sz="0" w:space="0" w:color="auto"/>
                          </w:divBdr>
                        </w:div>
                      </w:divsChild>
                    </w:div>
                    <w:div w:id="1711034089">
                      <w:marLeft w:val="0"/>
                      <w:marRight w:val="0"/>
                      <w:marTop w:val="0"/>
                      <w:marBottom w:val="0"/>
                      <w:divBdr>
                        <w:top w:val="none" w:sz="0" w:space="0" w:color="auto"/>
                        <w:left w:val="none" w:sz="0" w:space="0" w:color="auto"/>
                        <w:bottom w:val="none" w:sz="0" w:space="0" w:color="auto"/>
                        <w:right w:val="none" w:sz="0" w:space="0" w:color="auto"/>
                      </w:divBdr>
                      <w:divsChild>
                        <w:div w:id="1321931460">
                          <w:marLeft w:val="0"/>
                          <w:marRight w:val="0"/>
                          <w:marTop w:val="0"/>
                          <w:marBottom w:val="0"/>
                          <w:divBdr>
                            <w:top w:val="none" w:sz="0" w:space="0" w:color="auto"/>
                            <w:left w:val="none" w:sz="0" w:space="0" w:color="auto"/>
                            <w:bottom w:val="none" w:sz="0" w:space="0" w:color="auto"/>
                            <w:right w:val="none" w:sz="0" w:space="0" w:color="auto"/>
                          </w:divBdr>
                          <w:divsChild>
                            <w:div w:id="71840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554405">
                  <w:marLeft w:val="-300"/>
                  <w:marRight w:val="-300"/>
                  <w:marTop w:val="720"/>
                  <w:marBottom w:val="720"/>
                  <w:divBdr>
                    <w:top w:val="none" w:sz="0" w:space="0" w:color="auto"/>
                    <w:left w:val="none" w:sz="0" w:space="0" w:color="auto"/>
                    <w:bottom w:val="none" w:sz="0" w:space="0" w:color="auto"/>
                    <w:right w:val="none" w:sz="0" w:space="0" w:color="auto"/>
                  </w:divBdr>
                  <w:divsChild>
                    <w:div w:id="1921207778">
                      <w:marLeft w:val="0"/>
                      <w:marRight w:val="0"/>
                      <w:marTop w:val="0"/>
                      <w:marBottom w:val="0"/>
                      <w:divBdr>
                        <w:top w:val="none" w:sz="0" w:space="0" w:color="auto"/>
                        <w:left w:val="none" w:sz="0" w:space="0" w:color="auto"/>
                        <w:bottom w:val="none" w:sz="0" w:space="0" w:color="auto"/>
                        <w:right w:val="none" w:sz="0" w:space="0" w:color="auto"/>
                      </w:divBdr>
                      <w:divsChild>
                        <w:div w:id="111190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xbrl.org/tag/taxonomy/" TargetMode="External"/><Relationship Id="rId13" Type="http://schemas.openxmlformats.org/officeDocument/2006/relationships/hyperlink" Target="https://it.xbrl.org/" TargetMode="External"/><Relationship Id="rId18" Type="http://schemas.openxmlformats.org/officeDocument/2006/relationships/hyperlink" Target="https://www.globalreporting.org/about-gri/" TargetMode="External"/><Relationship Id="rId26" Type="http://schemas.openxmlformats.org/officeDocument/2006/relationships/hyperlink" Target="https://www.globalreporting.org/media/3knnasj1/2-full-set-of-data-points-final-for-consultation-11062024.xlsx" TargetMode="External"/><Relationship Id="rId3" Type="http://schemas.openxmlformats.org/officeDocument/2006/relationships/settings" Target="settings.xml"/><Relationship Id="rId21" Type="http://schemas.openxmlformats.org/officeDocument/2006/relationships/hyperlink" Target="https://www.globalreporting.org/media/esshjuxa/6-gri-sustainability-taxonomy-architecture-and-implementation-guide-final-for-public-consultation-11062024.pdf" TargetMode="External"/><Relationship Id="rId7" Type="http://schemas.openxmlformats.org/officeDocument/2006/relationships/hyperlink" Target="https://www.globalreporting.org/standards/standards-development/gri-sustainability-taxonomy/" TargetMode="External"/><Relationship Id="rId12" Type="http://schemas.openxmlformats.org/officeDocument/2006/relationships/image" Target="media/image2.png"/><Relationship Id="rId17" Type="http://schemas.openxmlformats.org/officeDocument/2006/relationships/hyperlink" Target="https://www.globalreporting.org/reporting-support/reporting-tools/licensed-software-tools-partners/" TargetMode="External"/><Relationship Id="rId25" Type="http://schemas.openxmlformats.org/officeDocument/2006/relationships/hyperlink" Target="https://www.globalreporting.org/media/vybnhow3/1-introduction-to-the-gri-sustainability-taxonomy-final-for-public-consultation-11062024.pdf" TargetMode="External"/><Relationship Id="rId2" Type="http://schemas.openxmlformats.org/officeDocument/2006/relationships/styles" Target="styles.xml"/><Relationship Id="rId16" Type="http://schemas.openxmlformats.org/officeDocument/2006/relationships/hyperlink" Target="https://bit.ly/4cbPZs0" TargetMode="External"/><Relationship Id="rId20" Type="http://schemas.openxmlformats.org/officeDocument/2006/relationships/hyperlink" Target="https://www.globalreporting.org/media/uesdmzdx/5-draft-gri-taxonomy_2024-06-11.xlsx"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xbrl.org/news/gri-opens-public-consultation-on-new-xbrl-taxonomy/" TargetMode="External"/><Relationship Id="rId11" Type="http://schemas.openxmlformats.org/officeDocument/2006/relationships/hyperlink" Target="https://www.xbrl.org/tag/xbrl/" TargetMode="External"/><Relationship Id="rId24" Type="http://schemas.openxmlformats.org/officeDocument/2006/relationships/hyperlink" Target="https://bit.ly/3KEPCum" TargetMode="External"/><Relationship Id="rId5" Type="http://schemas.openxmlformats.org/officeDocument/2006/relationships/image" Target="media/image1.jpeg"/><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https://www.xbrl.org/tag/gri/" TargetMode="External"/><Relationship Id="rId19" Type="http://schemas.openxmlformats.org/officeDocument/2006/relationships/hyperlink" Target="https://www.globalreporting.org/media/synbweqi/4-draft-gri-taxonomy.zip" TargetMode="External"/><Relationship Id="rId4" Type="http://schemas.openxmlformats.org/officeDocument/2006/relationships/webSettings" Target="webSettings.xml"/><Relationship Id="rId9" Type="http://schemas.openxmlformats.org/officeDocument/2006/relationships/hyperlink" Target="https://www.xbrl.org/tag/esg/" TargetMode="External"/><Relationship Id="rId14" Type="http://schemas.openxmlformats.org/officeDocument/2006/relationships/image" Target="media/image3.png"/><Relationship Id="rId22" Type="http://schemas.openxmlformats.org/officeDocument/2006/relationships/hyperlink" Target="https://www.globalreporting.org/media/kabahrit/illustrative-examples_ixbrl-instances_2024-06-11.zip" TargetMode="External"/><Relationship Id="rId27" Type="http://schemas.openxmlformats.org/officeDocument/2006/relationships/hyperlink" Target="https://www.globalreporting.org/media/equpnt0d/3-examples-of-tagged-gri-disclosures.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6</Pages>
  <Words>1763</Words>
  <Characters>9700</Characters>
  <Application>Microsoft Office Word</Application>
  <DocSecurity>0</DocSecurity>
  <Lines>80</Lines>
  <Paragraphs>22</Paragraphs>
  <ScaleCrop>false</ScaleCrop>
  <Company/>
  <LinksUpToDate>false</LinksUpToDate>
  <CharactersWithSpaces>11441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cp:lastModifiedBy>
  <cp:revision>7</cp:revision>
  <dcterms:created xsi:type="dcterms:W3CDTF">2024-06-20T04:37:00Z</dcterms:created>
  <dcterms:modified xsi:type="dcterms:W3CDTF">2024-06-25T03:28:00Z</dcterms:modified>
</cp:coreProperties>
</file>