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50DD1" w14:textId="77777777" w:rsidR="00077475" w:rsidRPr="009F7E5C" w:rsidRDefault="00077475" w:rsidP="00077475">
      <w:pPr>
        <w:rPr>
          <w:rFonts w:ascii="Arial Nova Cond" w:hAnsi="Arial Nova Cond"/>
          <w:sz w:val="28"/>
          <w:szCs w:val="28"/>
        </w:rPr>
      </w:pPr>
      <w:bookmarkStart w:id="0" w:name="_Hlk167988248"/>
      <w:r w:rsidRPr="009F7E5C">
        <w:rPr>
          <w:rFonts w:ascii="Arial Nova Cond" w:hAnsi="Arial Nova Cond"/>
          <w:sz w:val="28"/>
          <w:szCs w:val="28"/>
        </w:rPr>
        <w:t>La FCA amplía el marco de sostenibilidad y orientación contra el lavado verde</w:t>
      </w:r>
    </w:p>
    <w:bookmarkEnd w:id="0"/>
    <w:p w14:paraId="6496A949" w14:textId="5475B706" w:rsidR="00077475" w:rsidRPr="00077475" w:rsidRDefault="00077475" w:rsidP="00077475">
      <w:r w:rsidRPr="00077475">
        <w:rPr>
          <w:noProof/>
        </w:rPr>
        <w:drawing>
          <wp:inline distT="0" distB="0" distL="0" distR="0" wp14:anchorId="622E45B5" wp14:editId="62EDB641">
            <wp:extent cx="5612130" cy="374142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2130" cy="3741420"/>
                    </a:xfrm>
                    <a:prstGeom prst="rect">
                      <a:avLst/>
                    </a:prstGeom>
                    <a:noFill/>
                    <a:ln>
                      <a:noFill/>
                    </a:ln>
                  </pic:spPr>
                </pic:pic>
              </a:graphicData>
            </a:graphic>
          </wp:inline>
        </w:drawing>
      </w:r>
    </w:p>
    <w:p w14:paraId="54143275" w14:textId="2110E862" w:rsidR="009F7E5C" w:rsidRPr="00077475" w:rsidRDefault="009F7E5C" w:rsidP="009F7E5C">
      <w:r w:rsidRPr="00077475">
        <w:t>Publicado el 5 de mayo de 2024 por</w:t>
      </w:r>
      <w:r>
        <w:t xml:space="preserve"> </w:t>
      </w:r>
      <w:hyperlink r:id="rId6" w:history="1">
        <w:r w:rsidRPr="00077475">
          <w:rPr>
            <w:rStyle w:val="Hipervnculo"/>
            <w:b/>
            <w:bCs/>
          </w:rPr>
          <w:t>Editor</w:t>
        </w:r>
      </w:hyperlink>
    </w:p>
    <w:p w14:paraId="02E949AA" w14:textId="77777777" w:rsidR="00077475" w:rsidRPr="00077475" w:rsidRDefault="00077475" w:rsidP="009F7E5C">
      <w:pPr>
        <w:jc w:val="both"/>
      </w:pPr>
      <w:r w:rsidRPr="00077475">
        <w:t>La Autoridad de Conducta Financiera (FCA) ha confirmado una orientación contra el lavado verde y ha propuesto extensiones a su marco de sostenibilidad. Estas iniciativas tienen como objetivo protegerse contra el lavado verde, ayudando a los inversores a obtener una imagen clara de las afirmaciones relativas a la sostenibilidad de los productos y servicios financieros.</w:t>
      </w:r>
    </w:p>
    <w:p w14:paraId="4ABBA0B3" w14:textId="34801191" w:rsidR="00077475" w:rsidRPr="00077475" w:rsidRDefault="00077475" w:rsidP="009F7E5C">
      <w:pPr>
        <w:jc w:val="both"/>
      </w:pPr>
      <w:r w:rsidRPr="00077475">
        <w:t xml:space="preserve">La norma </w:t>
      </w:r>
      <w:r w:rsidR="009F7E5C" w:rsidRPr="00077475">
        <w:t>antilavado</w:t>
      </w:r>
      <w:r w:rsidRPr="00077475">
        <w:t xml:space="preserve"> verde, que entrará en vigor el 31 de mayo, refleja el creciente interés en las finanzas sostenibles entre los inversores consumidores, como lo demuestra una encuesta que indica que el 81% de los adultos buscan inversiones que generen rendimientos financieros y un impacto social positivo. La guía anti-greenwashing de la FCA, junto con propuestas para requisitos de divulgación ampliados y etiquetas de inversión, tiene como objetivo garantizar la integridad del mercado y capacitar a los consumidores para que alineen sus inversiones con sus valores.</w:t>
      </w:r>
    </w:p>
    <w:p w14:paraId="1B10D7BC" w14:textId="77777777" w:rsidR="00077475" w:rsidRPr="00077475" w:rsidRDefault="00077475" w:rsidP="009F7E5C">
      <w:pPr>
        <w:jc w:val="both"/>
      </w:pPr>
      <w:r w:rsidRPr="00077475">
        <w:t>Un elemento central de los esfuerzos de la FCA es la extensión propuesta de los Requisitos de Divulgación de Sostenibilidad (SDR) a los administradores de cartera. Estos requisitos, que reflejan los introducidos para los administradores de activos en noviembre de 2023, incluyen el etiquetado de productos y estándares de marketing para permitir a los consumidores tomar decisiones informadas sobre productos financieros relacionados con la sostenibilidad. Los administradores de cartera, que supervisan las inversiones para los consumidores, estarán sujetos a obligaciones similares de divulgación y etiquetado, lo que facilitará una comunicación más clara de los impactos ambientales y sociales de las opciones de inversión.</w:t>
      </w:r>
    </w:p>
    <w:p w14:paraId="70311692" w14:textId="318B52A1" w:rsidR="00077475" w:rsidRPr="00077475" w:rsidRDefault="00077475" w:rsidP="009F7E5C">
      <w:pPr>
        <w:jc w:val="both"/>
      </w:pPr>
      <w:r w:rsidRPr="00077475">
        <w:lastRenderedPageBreak/>
        <w:t>Para obtener más detalles sobre las propuestas e iniciativas de la FCA, incluido el documento de consulta sobre la extensión del régimen de DEG a la gestión de carteras, visite</w:t>
      </w:r>
      <w:r w:rsidR="009F7E5C">
        <w:t xml:space="preserve"> </w:t>
      </w:r>
      <w:hyperlink r:id="rId7" w:tgtFrame="_blank" w:history="1">
        <w:r w:rsidRPr="00077475">
          <w:rPr>
            <w:rStyle w:val="Hipervnculo"/>
          </w:rPr>
          <w:t>el sitio web de la FCA</w:t>
        </w:r>
      </w:hyperlink>
      <w:r w:rsidRPr="00077475">
        <w:t>.</w:t>
      </w:r>
    </w:p>
    <w:p w14:paraId="263BBFA0" w14:textId="35FB50FD" w:rsidR="00077475" w:rsidRPr="00077475" w:rsidRDefault="004F7E38" w:rsidP="009F7E5C">
      <w:pPr>
        <w:jc w:val="both"/>
      </w:pPr>
      <w:hyperlink r:id="rId8" w:history="1">
        <w:r w:rsidR="00077475" w:rsidRPr="00077475">
          <w:rPr>
            <w:rStyle w:val="Hipervnculo"/>
          </w:rPr>
          <w:t>ESG</w:t>
        </w:r>
        <w:r w:rsidR="009F7E5C">
          <w:rPr>
            <w:rStyle w:val="Hipervnculo"/>
          </w:rPr>
          <w:t xml:space="preserve"> </w:t>
        </w:r>
      </w:hyperlink>
      <w:hyperlink r:id="rId9" w:history="1">
        <w:r w:rsidR="00077475" w:rsidRPr="00077475">
          <w:rPr>
            <w:rStyle w:val="Hipervnculo"/>
          </w:rPr>
          <w:t>LAVADO VERDE</w:t>
        </w:r>
        <w:r w:rsidR="009F7E5C">
          <w:rPr>
            <w:rStyle w:val="Hipervnculo"/>
          </w:rPr>
          <w:t xml:space="preserve"> </w:t>
        </w:r>
      </w:hyperlink>
      <w:hyperlink r:id="rId10" w:history="1">
        <w:r w:rsidR="00077475" w:rsidRPr="00077475">
          <w:rPr>
            <w:rStyle w:val="Hipervnculo"/>
          </w:rPr>
          <w:t>REINO UNIDO</w:t>
        </w:r>
      </w:hyperlink>
    </w:p>
    <w:p w14:paraId="5D3315D8" w14:textId="6C98C37A" w:rsidR="00077475" w:rsidRPr="00077475" w:rsidRDefault="00077475" w:rsidP="009F7E5C">
      <w:pPr>
        <w:jc w:val="both"/>
      </w:pPr>
    </w:p>
    <w:p w14:paraId="0D02EEA4" w14:textId="77777777" w:rsidR="00077475" w:rsidRDefault="00077475" w:rsidP="00077475"/>
    <w:p w14:paraId="7251DD53" w14:textId="49A4B6F5" w:rsidR="00077475" w:rsidRDefault="00077475" w:rsidP="00077475"/>
    <w:p w14:paraId="4F0BADF1" w14:textId="0E1CE7B2" w:rsidR="00077475" w:rsidRDefault="00077475" w:rsidP="00077475"/>
    <w:p w14:paraId="05F155C9" w14:textId="413FBD3A" w:rsidR="00077475" w:rsidRDefault="00077475" w:rsidP="00077475">
      <w:r w:rsidRPr="00077475">
        <w:rPr>
          <w:noProof/>
        </w:rPr>
        <w:drawing>
          <wp:inline distT="0" distB="0" distL="0" distR="0" wp14:anchorId="454B3AA7" wp14:editId="12CB0601">
            <wp:extent cx="5612130" cy="68643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686435"/>
                    </a:xfrm>
                    <a:prstGeom prst="rect">
                      <a:avLst/>
                    </a:prstGeom>
                  </pic:spPr>
                </pic:pic>
              </a:graphicData>
            </a:graphic>
          </wp:inline>
        </w:drawing>
      </w:r>
    </w:p>
    <w:p w14:paraId="105D5C56" w14:textId="4489B782" w:rsidR="00077475" w:rsidRPr="00077475" w:rsidRDefault="00077475" w:rsidP="00077475">
      <w:pPr>
        <w:jc w:val="both"/>
        <w:rPr>
          <w:sz w:val="28"/>
          <w:szCs w:val="28"/>
        </w:rPr>
      </w:pPr>
      <w:r w:rsidRPr="00077475">
        <w:rPr>
          <w:sz w:val="28"/>
          <w:szCs w:val="28"/>
        </w:rPr>
        <w:t>La FCA confirma la orientación contra el lavado verde y propone ampliar el marco de sostenibilidad</w:t>
      </w:r>
    </w:p>
    <w:p w14:paraId="0C4FA753" w14:textId="77777777" w:rsidR="009F7E5C" w:rsidRDefault="00077475" w:rsidP="009F7E5C">
      <w:pPr>
        <w:spacing w:after="0"/>
        <w:jc w:val="both"/>
      </w:pPr>
      <w:r w:rsidRPr="00077475">
        <w:t>Comunicados de prensa</w:t>
      </w:r>
      <w:r w:rsidR="009F7E5C">
        <w:t>:</w:t>
      </w:r>
    </w:p>
    <w:p w14:paraId="716A2D47" w14:textId="77777777" w:rsidR="009F7E5C" w:rsidRDefault="00077475" w:rsidP="009F7E5C">
      <w:pPr>
        <w:spacing w:after="0"/>
        <w:jc w:val="both"/>
      </w:pPr>
      <w:r w:rsidRPr="00077475">
        <w:t>Publicado por primera vez:</w:t>
      </w:r>
      <w:r w:rsidR="009F7E5C">
        <w:t xml:space="preserve"> </w:t>
      </w:r>
      <w:r w:rsidRPr="00077475">
        <w:t>23/04/2024</w:t>
      </w:r>
      <w:r w:rsidR="009F7E5C">
        <w:t xml:space="preserve"> </w:t>
      </w:r>
    </w:p>
    <w:p w14:paraId="3112C11D" w14:textId="77777777" w:rsidR="009F7E5C" w:rsidRDefault="00077475" w:rsidP="009F7E5C">
      <w:pPr>
        <w:spacing w:after="0"/>
        <w:jc w:val="both"/>
      </w:pPr>
      <w:r w:rsidRPr="00077475">
        <w:t>Última actualización:</w:t>
      </w:r>
      <w:r w:rsidR="009F7E5C">
        <w:t xml:space="preserve"> </w:t>
      </w:r>
      <w:r w:rsidRPr="00077475">
        <w:t>25/04/2024</w:t>
      </w:r>
    </w:p>
    <w:p w14:paraId="68AC1167" w14:textId="3787451C" w:rsidR="00077475" w:rsidRPr="00077475" w:rsidRDefault="004F7E38" w:rsidP="00077475">
      <w:pPr>
        <w:jc w:val="both"/>
      </w:pPr>
      <w:hyperlink r:id="rId12" w:anchor="revisions" w:history="1">
        <w:r w:rsidR="00077475" w:rsidRPr="00077475">
          <w:rPr>
            <w:rStyle w:val="Hipervnculo"/>
          </w:rPr>
          <w:t>Ver todas las actualizaciones</w:t>
        </w:r>
      </w:hyperlink>
    </w:p>
    <w:p w14:paraId="2C24852B" w14:textId="77777777" w:rsidR="00077475" w:rsidRPr="00077475" w:rsidRDefault="00077475" w:rsidP="00077475">
      <w:pPr>
        <w:jc w:val="both"/>
      </w:pPr>
      <w:r w:rsidRPr="00077475">
        <w:t>Antes de que la norma anti-greenwashing entre en vigor el 31 de mayo, la FCA está apoyando a la industria con orientación para ayudarla a cumplir con el estándar.</w:t>
      </w:r>
    </w:p>
    <w:p w14:paraId="101599EA" w14:textId="77777777" w:rsidR="00077475" w:rsidRPr="00077475" w:rsidRDefault="00077475" w:rsidP="00077475">
      <w:pPr>
        <w:jc w:val="both"/>
      </w:pPr>
      <w:r w:rsidRPr="00077475">
        <w:t>La nueva norma está diseñada para proteger a los consumidores garantizando que los productos y servicios sostenibles que se venden estén descritos con precisión.</w:t>
      </w:r>
    </w:p>
    <w:p w14:paraId="27BE70F0" w14:textId="68C0DF24" w:rsidR="00077475" w:rsidRPr="00077475" w:rsidRDefault="00077475" w:rsidP="00077475">
      <w:pPr>
        <w:jc w:val="both"/>
      </w:pPr>
      <w:r w:rsidRPr="00077475">
        <w:t>Los resultados de la última</w:t>
      </w:r>
      <w:r w:rsidR="009F7E5C">
        <w:t xml:space="preserve"> </w:t>
      </w:r>
      <w:hyperlink r:id="rId13" w:tooltip="La encuesta de Vidas Financieras" w:history="1">
        <w:r w:rsidRPr="00077475">
          <w:rPr>
            <w:rStyle w:val="Hipervnculo"/>
          </w:rPr>
          <w:t>encuesta Financial Lives</w:t>
        </w:r>
      </w:hyperlink>
      <w:r w:rsidR="009F7E5C">
        <w:t xml:space="preserve"> </w:t>
      </w:r>
      <w:r w:rsidRPr="00077475">
        <w:t>muestran un importante interés de los consumidores en las finanzas sostenibles, ya que al 81% de los adultos encuestados les gustaría que sus inversiones generaran algún beneficio además de proporcionar un retorno financiero. Este trabajo apoya el crecimiento y la competitividad a largo plazo del sector ayudando a las empresas a satisfacer esta demanda y garantizando que los consumidores que invierten en productos financieros relacionados con la sostenibilidad puedan tomar decisiones informadas.</w:t>
      </w:r>
    </w:p>
    <w:p w14:paraId="674CF388" w14:textId="77777777" w:rsidR="009F7E5C" w:rsidRDefault="00077475" w:rsidP="00077475">
      <w:pPr>
        <w:jc w:val="both"/>
      </w:pPr>
      <w:r w:rsidRPr="00077475">
        <w:t>La FCA también está consultando para ampliar a los gestores de carteras los requisitos sobre cómo se etiquetan y explican las inversiones sostenibles, facilitando la elección de los consumidores. Se trata de empresas que gestionan un grupo de inversiones para los consumidores, que pueden ofrecerse como productos estandarizados o servicios personalizados.</w:t>
      </w:r>
    </w:p>
    <w:p w14:paraId="4FFF733D" w14:textId="228AEAAB" w:rsidR="00077475" w:rsidRPr="00077475" w:rsidRDefault="00077475" w:rsidP="00077475">
      <w:pPr>
        <w:jc w:val="both"/>
      </w:pPr>
      <w:r w:rsidRPr="00077475">
        <w:t>El etiquetado y los Requisitos de Divulgación de Sostenibilidad (SDR) propuestos para los administradores de carteras reflejan en gran medida los introducidos para los administradores de activos en noviembre de 2023. Incluyen:</w:t>
      </w:r>
    </w:p>
    <w:p w14:paraId="15F4D303" w14:textId="77777777" w:rsidR="00077475" w:rsidRPr="00077475" w:rsidRDefault="00077475" w:rsidP="00077475">
      <w:pPr>
        <w:numPr>
          <w:ilvl w:val="0"/>
          <w:numId w:val="1"/>
        </w:numPr>
        <w:jc w:val="both"/>
      </w:pPr>
      <w:r w:rsidRPr="00077475">
        <w:t>Etiquetas de productos para ayudar a los consumidores a comprender para qué se utiliza su dinero.</w:t>
      </w:r>
    </w:p>
    <w:p w14:paraId="6C4FEA7C" w14:textId="77777777" w:rsidR="00077475" w:rsidRPr="00077475" w:rsidRDefault="00077475" w:rsidP="00077475">
      <w:pPr>
        <w:numPr>
          <w:ilvl w:val="0"/>
          <w:numId w:val="1"/>
        </w:numPr>
        <w:jc w:val="both"/>
      </w:pPr>
      <w:r w:rsidRPr="00077475">
        <w:lastRenderedPageBreak/>
        <w:t>requisitos de denominación y comercialización para que los productos sólo puedan describirse como si tuvieran resultados positivos para el medio ambiente y/o la sociedad cuando esas afirmaciones puedan estar respaldadas</w:t>
      </w:r>
    </w:p>
    <w:p w14:paraId="50E3936D" w14:textId="6F93F974" w:rsidR="00077475" w:rsidRPr="00077475" w:rsidRDefault="00077475" w:rsidP="00077475">
      <w:pPr>
        <w:jc w:val="both"/>
      </w:pPr>
      <w:r w:rsidRPr="00077475">
        <w:rPr>
          <w:b/>
          <w:bCs/>
        </w:rPr>
        <w:t xml:space="preserve">Sacha Sadan, </w:t>
      </w:r>
      <w:r w:rsidR="009F7E5C" w:rsidRPr="00077475">
        <w:rPr>
          <w:b/>
          <w:bCs/>
        </w:rPr>
        <w:t>director</w:t>
      </w:r>
      <w:r w:rsidRPr="00077475">
        <w:rPr>
          <w:b/>
          <w:bCs/>
        </w:rPr>
        <w:t xml:space="preserve"> de Medio Ambiente, Social y Gobernanza de FCA, dijo:</w:t>
      </w:r>
    </w:p>
    <w:p w14:paraId="459BAA84" w14:textId="77777777" w:rsidR="00077475" w:rsidRPr="00077475" w:rsidRDefault="00077475" w:rsidP="00077475">
      <w:pPr>
        <w:jc w:val="both"/>
      </w:pPr>
      <w:r w:rsidRPr="00077475">
        <w:t>'Confirmar la nueva orientación contra el lavado verde y nuestras propuestas para ampliar los requisitos de divulgación de sostenibilidad y el régimen de etiquetas de inversión son hitos importantes que mantienen el lugar del Reino Unido a la vanguardia de la inversión sostenible. Nuestros ejemplos de buenas y malas prácticas contra el lavado verde ayudarán a las empresas a comercializar sus productos de la manera correcta. Seguimos trabajando estrechamente con la ASA y la CMA para abordar el lavado verde.</w:t>
      </w:r>
    </w:p>
    <w:p w14:paraId="7FE975B2" w14:textId="77777777" w:rsidR="00077475" w:rsidRPr="00077475" w:rsidRDefault="00077475" w:rsidP="00077475">
      <w:pPr>
        <w:jc w:val="both"/>
      </w:pPr>
      <w:r w:rsidRPr="00077475">
        <w:t>'Los consumidores se preocupan por invertir en productos que tengan un impacto positivo en el planeta y las personas. Por eso queremos impulsar la integridad del mercado y garantizar que las personas puedan tomar decisiones informadas con su dinero".</w:t>
      </w:r>
    </w:p>
    <w:p w14:paraId="3A553582" w14:textId="77777777" w:rsidR="00077475" w:rsidRPr="00077475" w:rsidRDefault="00077475" w:rsidP="00077475">
      <w:pPr>
        <w:jc w:val="both"/>
      </w:pPr>
      <w:r w:rsidRPr="00077475">
        <w:t>Notas para los editores</w:t>
      </w:r>
    </w:p>
    <w:p w14:paraId="71F2A234" w14:textId="1AD5CE34" w:rsidR="00077475" w:rsidRPr="00077475" w:rsidRDefault="004F7E38" w:rsidP="00077475">
      <w:pPr>
        <w:numPr>
          <w:ilvl w:val="0"/>
          <w:numId w:val="2"/>
        </w:numPr>
        <w:jc w:val="both"/>
      </w:pPr>
      <w:hyperlink r:id="rId14" w:tooltip="CP24/8: Ampliación del régimen de DEG a la gestión de carteras" w:history="1">
        <w:r w:rsidR="00077475" w:rsidRPr="00077475">
          <w:rPr>
            <w:rStyle w:val="Hipervnculo"/>
          </w:rPr>
          <w:t>Lea CP24/8 que propone ampliar el régimen de DEG a la gestión de carteras</w:t>
        </w:r>
      </w:hyperlink>
      <w:r w:rsidR="00077475" w:rsidRPr="00077475">
        <w:t>.</w:t>
      </w:r>
    </w:p>
    <w:p w14:paraId="044586E7" w14:textId="17546C7F" w:rsidR="00077475" w:rsidRPr="00077475" w:rsidRDefault="004F7E38" w:rsidP="00077475">
      <w:pPr>
        <w:numPr>
          <w:ilvl w:val="0"/>
          <w:numId w:val="2"/>
        </w:numPr>
        <w:jc w:val="both"/>
      </w:pPr>
      <w:hyperlink r:id="rId15" w:tooltip="FG24/3: Orientación no manual finalizada sobre la norma contra el lavado verde" w:history="1">
        <w:r w:rsidR="00077475" w:rsidRPr="00077475">
          <w:rPr>
            <w:rStyle w:val="Hipervnculo"/>
          </w:rPr>
          <w:t>Lea FG24/3: Orientación no manual finalizada sobre la norma contra el lavado verde</w:t>
        </w:r>
      </w:hyperlink>
      <w:r w:rsidR="00077475" w:rsidRPr="00077475">
        <w:t>.</w:t>
      </w:r>
    </w:p>
    <w:p w14:paraId="7A54EF81" w14:textId="443332BA" w:rsidR="00077475" w:rsidRPr="00077475" w:rsidRDefault="00077475" w:rsidP="00077475">
      <w:pPr>
        <w:numPr>
          <w:ilvl w:val="0"/>
          <w:numId w:val="2"/>
        </w:numPr>
        <w:jc w:val="both"/>
      </w:pPr>
      <w:r w:rsidRPr="00077475">
        <w:t>En noviembre de 2023, la FCA</w:t>
      </w:r>
      <w:r w:rsidR="009F7E5C">
        <w:t xml:space="preserve"> </w:t>
      </w:r>
      <w:hyperlink r:id="rId16" w:tooltip="Régimen de divulgación y etiquetado de sostenibilidad confirmado por la FCA" w:history="1">
        <w:r w:rsidRPr="00077475">
          <w:rPr>
            <w:rStyle w:val="Hipervnculo"/>
          </w:rPr>
          <w:t>finalizó el régimen de requisitos de divulgación de sostenibilidad y etiquetas de inversión</w:t>
        </w:r>
      </w:hyperlink>
      <w:r w:rsidRPr="00077475">
        <w:t>, un paquete sustancial de medidas para mejorar la confianza y la transparencia de los productos de inversión y minimizar el lavado verde.</w:t>
      </w:r>
    </w:p>
    <w:p w14:paraId="277532C8" w14:textId="77777777" w:rsidR="00077475" w:rsidRPr="00077475" w:rsidRDefault="00077475" w:rsidP="00077475">
      <w:pPr>
        <w:numPr>
          <w:ilvl w:val="0"/>
          <w:numId w:val="2"/>
        </w:numPr>
        <w:jc w:val="both"/>
      </w:pPr>
      <w:r w:rsidRPr="00077475">
        <w:t>La norma anti-greenwashing entrará en vigor a partir del 31 de mayo de 2024. Los gestores de fondos con sede en el Reino Unido podrán utilizar las etiquetas de inversión a partir del 31 de julio de 2024. Las normas de denominación y marketing para los gestores de fondos con sede en el Reino Unido entrarán en vigor a partir del 2 de diciembre de 2024.</w:t>
      </w:r>
    </w:p>
    <w:p w14:paraId="5629F381" w14:textId="048B572A" w:rsidR="00077475" w:rsidRPr="00077475" w:rsidRDefault="00077475" w:rsidP="00077475">
      <w:pPr>
        <w:numPr>
          <w:ilvl w:val="0"/>
          <w:numId w:val="2"/>
        </w:numPr>
        <w:jc w:val="both"/>
      </w:pPr>
      <w:r w:rsidRPr="00077475">
        <w:t>La FCA, la Autoridad de Normas de Publicidad (ASA) y la Autoridad de Mercados y Competencia (CMA) trabajan en estrecha colaboración para abordar el lavado verde. Si bien existen responsabilidades regulatorias separadas, hay algunas áreas importantes que se superponen. Cuando corresponda, continuaremos colaborando con la CMA y la ASA para abordar el lavado verde.</w:t>
      </w:r>
    </w:p>
    <w:p w14:paraId="226F7554" w14:textId="709B9C5A" w:rsidR="00077475" w:rsidRPr="00077475" w:rsidRDefault="00077475" w:rsidP="00077475">
      <w:pPr>
        <w:numPr>
          <w:ilvl w:val="0"/>
          <w:numId w:val="2"/>
        </w:numPr>
      </w:pPr>
      <w:r w:rsidRPr="00077475">
        <w:t>Obtenga más información</w:t>
      </w:r>
      <w:r w:rsidR="009F7E5C">
        <w:t xml:space="preserve"> </w:t>
      </w:r>
      <w:hyperlink r:id="rId17" w:history="1">
        <w:r w:rsidRPr="00077475">
          <w:rPr>
            <w:rStyle w:val="Hipervnculo"/>
          </w:rPr>
          <w:t>sobre la FCA</w:t>
        </w:r>
      </w:hyperlink>
      <w:r w:rsidRPr="00077475">
        <w:t>.</w:t>
      </w:r>
    </w:p>
    <w:p w14:paraId="1FEB586A" w14:textId="77777777" w:rsidR="004F646E" w:rsidRDefault="004F646E"/>
    <w:sectPr w:rsidR="004F646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Cond">
    <w:altName w:val="Arial Nova Cond"/>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530C42"/>
    <w:multiLevelType w:val="multilevel"/>
    <w:tmpl w:val="E3409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43E1A50"/>
    <w:multiLevelType w:val="multilevel"/>
    <w:tmpl w:val="4D10C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475"/>
    <w:rsid w:val="00077475"/>
    <w:rsid w:val="004F646E"/>
    <w:rsid w:val="004F7E38"/>
    <w:rsid w:val="009F7E5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8EF62"/>
  <w15:chartTrackingRefBased/>
  <w15:docId w15:val="{A374C56D-6F01-4D0B-B665-ED9063BE8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77475"/>
    <w:rPr>
      <w:color w:val="0563C1" w:themeColor="hyperlink"/>
      <w:u w:val="single"/>
    </w:rPr>
  </w:style>
  <w:style w:type="character" w:styleId="Mencinsinresolver">
    <w:name w:val="Unresolved Mention"/>
    <w:basedOn w:val="Fuentedeprrafopredeter"/>
    <w:uiPriority w:val="99"/>
    <w:semiHidden/>
    <w:unhideWhenUsed/>
    <w:rsid w:val="000774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713990">
      <w:bodyDiv w:val="1"/>
      <w:marLeft w:val="0"/>
      <w:marRight w:val="0"/>
      <w:marTop w:val="0"/>
      <w:marBottom w:val="0"/>
      <w:divBdr>
        <w:top w:val="none" w:sz="0" w:space="0" w:color="auto"/>
        <w:left w:val="none" w:sz="0" w:space="0" w:color="auto"/>
        <w:bottom w:val="none" w:sz="0" w:space="0" w:color="auto"/>
        <w:right w:val="none" w:sz="0" w:space="0" w:color="auto"/>
      </w:divBdr>
      <w:divsChild>
        <w:div w:id="18049098">
          <w:marLeft w:val="0"/>
          <w:marRight w:val="0"/>
          <w:marTop w:val="0"/>
          <w:marBottom w:val="0"/>
          <w:divBdr>
            <w:top w:val="none" w:sz="0" w:space="0" w:color="auto"/>
            <w:left w:val="none" w:sz="0" w:space="0" w:color="auto"/>
            <w:bottom w:val="none" w:sz="0" w:space="0" w:color="auto"/>
            <w:right w:val="none" w:sz="0" w:space="0" w:color="auto"/>
          </w:divBdr>
          <w:divsChild>
            <w:div w:id="841046342">
              <w:marLeft w:val="0"/>
              <w:marRight w:val="0"/>
              <w:marTop w:val="0"/>
              <w:marBottom w:val="0"/>
              <w:divBdr>
                <w:top w:val="none" w:sz="0" w:space="0" w:color="auto"/>
                <w:left w:val="none" w:sz="0" w:space="0" w:color="auto"/>
                <w:bottom w:val="none" w:sz="0" w:space="0" w:color="auto"/>
                <w:right w:val="none" w:sz="0" w:space="0" w:color="auto"/>
              </w:divBdr>
              <w:divsChild>
                <w:div w:id="37508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869352">
          <w:marLeft w:val="0"/>
          <w:marRight w:val="0"/>
          <w:marTop w:val="0"/>
          <w:marBottom w:val="0"/>
          <w:divBdr>
            <w:top w:val="none" w:sz="0" w:space="0" w:color="auto"/>
            <w:left w:val="none" w:sz="0" w:space="0" w:color="auto"/>
            <w:bottom w:val="none" w:sz="0" w:space="0" w:color="auto"/>
            <w:right w:val="none" w:sz="0" w:space="0" w:color="auto"/>
          </w:divBdr>
          <w:divsChild>
            <w:div w:id="1085496107">
              <w:marLeft w:val="0"/>
              <w:marRight w:val="0"/>
              <w:marTop w:val="0"/>
              <w:marBottom w:val="0"/>
              <w:divBdr>
                <w:top w:val="none" w:sz="0" w:space="0" w:color="auto"/>
                <w:left w:val="none" w:sz="0" w:space="0" w:color="auto"/>
                <w:bottom w:val="none" w:sz="0" w:space="0" w:color="auto"/>
                <w:right w:val="none" w:sz="0" w:space="0" w:color="auto"/>
              </w:divBdr>
              <w:divsChild>
                <w:div w:id="2004581953">
                  <w:marLeft w:val="0"/>
                  <w:marRight w:val="0"/>
                  <w:marTop w:val="0"/>
                  <w:marBottom w:val="0"/>
                  <w:divBdr>
                    <w:top w:val="none" w:sz="0" w:space="0" w:color="auto"/>
                    <w:left w:val="none" w:sz="0" w:space="0" w:color="auto"/>
                    <w:bottom w:val="none" w:sz="0" w:space="0" w:color="auto"/>
                    <w:right w:val="none" w:sz="0" w:space="0" w:color="auto"/>
                  </w:divBdr>
                  <w:divsChild>
                    <w:div w:id="2107073118">
                      <w:marLeft w:val="0"/>
                      <w:marRight w:val="0"/>
                      <w:marTop w:val="0"/>
                      <w:marBottom w:val="0"/>
                      <w:divBdr>
                        <w:top w:val="none" w:sz="0" w:space="0" w:color="auto"/>
                        <w:left w:val="none" w:sz="0" w:space="0" w:color="auto"/>
                        <w:bottom w:val="none" w:sz="0" w:space="0" w:color="auto"/>
                        <w:right w:val="none" w:sz="0" w:space="0" w:color="auto"/>
                      </w:divBdr>
                    </w:div>
                    <w:div w:id="78624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3770618">
      <w:bodyDiv w:val="1"/>
      <w:marLeft w:val="0"/>
      <w:marRight w:val="0"/>
      <w:marTop w:val="0"/>
      <w:marBottom w:val="0"/>
      <w:divBdr>
        <w:top w:val="none" w:sz="0" w:space="0" w:color="auto"/>
        <w:left w:val="none" w:sz="0" w:space="0" w:color="auto"/>
        <w:bottom w:val="none" w:sz="0" w:space="0" w:color="auto"/>
        <w:right w:val="none" w:sz="0" w:space="0" w:color="auto"/>
      </w:divBdr>
      <w:divsChild>
        <w:div w:id="1841500723">
          <w:marLeft w:val="0"/>
          <w:marRight w:val="0"/>
          <w:marTop w:val="0"/>
          <w:marBottom w:val="0"/>
          <w:divBdr>
            <w:top w:val="none" w:sz="0" w:space="0" w:color="auto"/>
            <w:left w:val="none" w:sz="0" w:space="0" w:color="auto"/>
            <w:bottom w:val="none" w:sz="0" w:space="0" w:color="auto"/>
            <w:right w:val="none" w:sz="0" w:space="0" w:color="auto"/>
          </w:divBdr>
        </w:div>
        <w:div w:id="1271401856">
          <w:marLeft w:val="0"/>
          <w:marRight w:val="0"/>
          <w:marTop w:val="300"/>
          <w:marBottom w:val="300"/>
          <w:divBdr>
            <w:top w:val="none" w:sz="0" w:space="0" w:color="auto"/>
            <w:left w:val="none" w:sz="0" w:space="0" w:color="auto"/>
            <w:bottom w:val="none" w:sz="0" w:space="0" w:color="auto"/>
            <w:right w:val="none" w:sz="0" w:space="0" w:color="auto"/>
          </w:divBdr>
        </w:div>
        <w:div w:id="720640720">
          <w:marLeft w:val="0"/>
          <w:marRight w:val="0"/>
          <w:marTop w:val="600"/>
          <w:marBottom w:val="0"/>
          <w:divBdr>
            <w:top w:val="none" w:sz="0" w:space="0" w:color="auto"/>
            <w:left w:val="none" w:sz="0" w:space="0" w:color="auto"/>
            <w:bottom w:val="none" w:sz="0" w:space="0" w:color="auto"/>
            <w:right w:val="none" w:sz="0" w:space="0" w:color="auto"/>
          </w:divBdr>
          <w:divsChild>
            <w:div w:id="46882403">
              <w:marLeft w:val="0"/>
              <w:marRight w:val="0"/>
              <w:marTop w:val="75"/>
              <w:marBottom w:val="75"/>
              <w:divBdr>
                <w:top w:val="none" w:sz="0" w:space="0" w:color="auto"/>
                <w:left w:val="none" w:sz="0" w:space="0" w:color="auto"/>
                <w:bottom w:val="dotted" w:sz="6" w:space="0" w:color="CCCCCC"/>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xbrl.org/tag/esg/" TargetMode="External"/><Relationship Id="rId13" Type="http://schemas.openxmlformats.org/officeDocument/2006/relationships/hyperlink" Target="https://www.fca.org.uk/financial-liv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ca.org.uk/news/press-releases/fca-confirms-anti-greenwashing-guidance-and-proposes-extending-sustainability-framework" TargetMode="External"/><Relationship Id="rId12" Type="http://schemas.openxmlformats.org/officeDocument/2006/relationships/hyperlink" Target="https://www.fca.org.uk/news/press-releases/fca-confirms-anti-greenwashing-guidance-and-proposes-extending-sustainability-framework" TargetMode="External"/><Relationship Id="rId17" Type="http://schemas.openxmlformats.org/officeDocument/2006/relationships/hyperlink" Target="https://www.fca.org.uk/about-us-previous" TargetMode="External"/><Relationship Id="rId2" Type="http://schemas.openxmlformats.org/officeDocument/2006/relationships/styles" Target="styles.xml"/><Relationship Id="rId16" Type="http://schemas.openxmlformats.org/officeDocument/2006/relationships/hyperlink" Target="https://www.fca.org.uk/news/press-releases/sustainability-disclosure-and-labelling-regime-confirmed-fca" TargetMode="External"/><Relationship Id="rId1" Type="http://schemas.openxmlformats.org/officeDocument/2006/relationships/numbering" Target="numbering.xml"/><Relationship Id="rId6" Type="http://schemas.openxmlformats.org/officeDocument/2006/relationships/hyperlink" Target="https://www.xbrl.org/news/fca-extends-anti-greenwashing-guidance-and-sustainability-framework/" TargetMode="External"/><Relationship Id="rId11" Type="http://schemas.openxmlformats.org/officeDocument/2006/relationships/image" Target="media/image2.png"/><Relationship Id="rId5" Type="http://schemas.openxmlformats.org/officeDocument/2006/relationships/image" Target="media/image1.jpeg"/><Relationship Id="rId15" Type="http://schemas.openxmlformats.org/officeDocument/2006/relationships/hyperlink" Target="https://www.fca.org.uk/publications/finalised-guidance/fg24-3-finalised-non-handbook-guidance-anti-greenwashing-rule" TargetMode="External"/><Relationship Id="rId10" Type="http://schemas.openxmlformats.org/officeDocument/2006/relationships/hyperlink" Target="https://www.xbrl.org/tag/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xbrl.org/tag/greenwashing/" TargetMode="External"/><Relationship Id="rId14" Type="http://schemas.openxmlformats.org/officeDocument/2006/relationships/hyperlink" Target="https://www.fca.org.uk/publications/consultation-papers/cp24-8-extending-sdr-regime-portfolio-managemen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1139</Words>
  <Characters>6266</Characters>
  <Application>Microsoft Office Word</Application>
  <DocSecurity>0</DocSecurity>
  <Lines>52</Lines>
  <Paragraphs>14</Paragraphs>
  <ScaleCrop>false</ScaleCrop>
  <Company/>
  <LinksUpToDate>false</LinksUpToDate>
  <CharactersWithSpaces>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 MENDEZ</dc:creator>
  <cp:keywords/>
  <dc:description/>
  <cp:lastModifiedBy>RAUL RANGEL MENDEZ</cp:lastModifiedBy>
  <cp:revision>3</cp:revision>
  <dcterms:created xsi:type="dcterms:W3CDTF">2024-05-08T02:12:00Z</dcterms:created>
  <dcterms:modified xsi:type="dcterms:W3CDTF">2024-06-04T03:09:00Z</dcterms:modified>
</cp:coreProperties>
</file>