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53F8" w14:textId="03D5E9B7" w:rsidR="00136421" w:rsidRPr="00136421" w:rsidRDefault="00136421" w:rsidP="00136421">
      <w:pPr>
        <w:jc w:val="both"/>
        <w:rPr>
          <w:rFonts w:ascii="Arial Nova Cond" w:hAnsi="Arial Nova Cond"/>
          <w:sz w:val="24"/>
          <w:szCs w:val="24"/>
        </w:rPr>
      </w:pPr>
      <w:r w:rsidRPr="00136421">
        <w:rPr>
          <w:rFonts w:ascii="Arial Nova Cond" w:hAnsi="Arial Nova Cond"/>
          <w:sz w:val="24"/>
          <w:szCs w:val="24"/>
        </w:rPr>
        <w:t>La SEC y FinCEN proponen nuevas reglas de identificación de clientes para asesores de inversiones</w:t>
      </w:r>
    </w:p>
    <w:p w14:paraId="54917DC3" w14:textId="0A2FE1FC" w:rsidR="00136421" w:rsidRPr="00136421" w:rsidRDefault="00136421" w:rsidP="00136421">
      <w:pPr>
        <w:jc w:val="both"/>
      </w:pPr>
      <w:r w:rsidRPr="00136421">
        <w:rPr>
          <w:noProof/>
        </w:rPr>
        <w:drawing>
          <wp:inline distT="0" distB="0" distL="0" distR="0" wp14:anchorId="58429CCD" wp14:editId="19DB393F">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6884EBF3" w14:textId="6360AD99" w:rsidR="00136421" w:rsidRPr="00136421" w:rsidRDefault="00136421" w:rsidP="00136421">
      <w:pPr>
        <w:jc w:val="both"/>
      </w:pPr>
      <w:r w:rsidRPr="00136421">
        <w:t>Publicado el 25 de mayo de 2024 por</w:t>
      </w:r>
      <w:r w:rsidR="00FA6AB1">
        <w:t xml:space="preserve"> </w:t>
      </w:r>
      <w:hyperlink r:id="rId5" w:history="1">
        <w:r w:rsidRPr="00136421">
          <w:rPr>
            <w:rStyle w:val="Hipervnculo"/>
            <w:b/>
            <w:bCs/>
          </w:rPr>
          <w:t>Editor</w:t>
        </w:r>
      </w:hyperlink>
    </w:p>
    <w:p w14:paraId="6C927FA6" w14:textId="7B071D6C" w:rsidR="00136421" w:rsidRPr="00136421" w:rsidRDefault="00136421" w:rsidP="00136421">
      <w:pPr>
        <w:jc w:val="both"/>
      </w:pPr>
      <w:r w:rsidRPr="00136421">
        <w:t>A principios de este mes, la Comisión de Bolsa y Valores de EE. UU. (SEC) y la Red de Ejecución de Delitos Financieros (FinCEN) del Tesoro propusieron una nueva regla que requiere que los asesores de inversiones (RIA) y los asesores de informes exentos (ERA) registrados en la SEC establezcan programas integrales de identificación de clientes (CIP).</w:t>
      </w:r>
      <w:r>
        <w:t xml:space="preserve"> </w:t>
      </w:r>
      <w:r w:rsidRPr="00136421">
        <w:t>Esta iniciativa tiene como objetivo reforzar el marco de lucha contra el lavado de dinero y la financiación del terrorismo (AML/CFT) dentro del sector de asesoría de inversiones.</w:t>
      </w:r>
    </w:p>
    <w:p w14:paraId="4B37ED07" w14:textId="77777777" w:rsidR="00136421" w:rsidRPr="00136421" w:rsidRDefault="00136421" w:rsidP="00136421">
      <w:pPr>
        <w:jc w:val="both"/>
      </w:pPr>
      <w:r w:rsidRPr="00136421">
        <w:t>La regla propuesta exige que las RIA y ERA implementen y mantengan procedimientos para verificar las identidades de los clientes de manera efectiva. Esto implicaría establecer un CIP documentado, asegurando que los asesores se formen una creencia razonable sobre la verdadera identidad de sus clientes. Se espera que tales medidas limiten las actividades delictivas, como el lavado de dinero y la financiación del terrorismo, al impedir el uso de identidades falsas para explotar los servicios de asesoría.</w:t>
      </w:r>
    </w:p>
    <w:p w14:paraId="3B8D0AC6" w14:textId="77777777" w:rsidR="00136421" w:rsidRPr="00136421" w:rsidRDefault="00136421" w:rsidP="00136421">
      <w:pPr>
        <w:jc w:val="both"/>
      </w:pPr>
      <w:r w:rsidRPr="00136421">
        <w:t xml:space="preserve">Esta propuesta complementa la iniciativa de FinCEN de febrero de 2024 para clasificar los RIA y ERA como “instituciones financieras” según la Ley de Secreto Bancario (BSA). Esta clasificación los somete a estrictos requisitos ALD/CFT y a la obligación de presentar informes de actividades sospechosas (SAR). La evaluación de riesgos del Tesoro destacó la vulnerabilidad de la industria de asesores de inversiones a actividades ilícitas, citando casos de corrupción extranjera, fraude y </w:t>
      </w:r>
      <w:r w:rsidRPr="00136421">
        <w:lastRenderedPageBreak/>
        <w:t>evasión fiscal. Los esfuerzos combinados de estas propuestas están dirigidos a mitigar tales riesgos y fortalecer la integridad del sistema financiero estadounidense.</w:t>
      </w:r>
    </w:p>
    <w:p w14:paraId="2CE3109E" w14:textId="77777777" w:rsidR="00136421" w:rsidRPr="00136421" w:rsidRDefault="00136421" w:rsidP="00136421">
      <w:pPr>
        <w:jc w:val="both"/>
      </w:pPr>
      <w:r w:rsidRPr="00136421">
        <w:t>El presidente de la SEC, Gary Gensler, expresó su firme apoyo a la propuesta y enfatizó su potencial para restringir el acceso de terroristas y criminales a los mercados estadounidenses. De manera similar, la directora de FinCEN, Andrea Gacki, subrayó la importancia de la regla para identificar actores ilícitos y evitar que exploten el sector de asesores de inversiones.</w:t>
      </w:r>
    </w:p>
    <w:p w14:paraId="1E014A34" w14:textId="77777777" w:rsidR="00136421" w:rsidRPr="00136421" w:rsidRDefault="00136421" w:rsidP="00136421">
      <w:pPr>
        <w:jc w:val="both"/>
      </w:pPr>
      <w:r w:rsidRPr="00136421">
        <w:t>Si se implementa, la norma requerirá que las RIA y las ERA desarrollen CIP con procedimientos para la verificación de la identidad del cliente, similares a los que se exigen a los corredores, distribuidores y fondos mutuos. Esta alineación tiene como objetivo crear un marco consistente y sólido en toda la industria de servicios financieros de EE. UU.</w:t>
      </w:r>
    </w:p>
    <w:p w14:paraId="32886756" w14:textId="77777777" w:rsidR="00136421" w:rsidRPr="00136421" w:rsidRDefault="00136421" w:rsidP="00136421">
      <w:pPr>
        <w:jc w:val="both"/>
      </w:pPr>
      <w:r w:rsidRPr="00136421">
        <w:t>La regla está disponible en el sitio web de la SEC y estará abierta a comentarios públicos durante 60 días.</w:t>
      </w:r>
    </w:p>
    <w:p w14:paraId="35F11BCB" w14:textId="20FF8038" w:rsidR="00136421" w:rsidRPr="00136421" w:rsidRDefault="00136421" w:rsidP="00136421">
      <w:pPr>
        <w:jc w:val="both"/>
      </w:pPr>
      <w:r w:rsidRPr="00136421">
        <w:t>Para obtener más detalles, lea la hoja informativa</w:t>
      </w:r>
      <w:r w:rsidR="00FA6AB1">
        <w:t xml:space="preserve"> </w:t>
      </w:r>
      <w:hyperlink r:id="rId6" w:tgtFrame="_blank" w:history="1">
        <w:r w:rsidRPr="00136421">
          <w:rPr>
            <w:rStyle w:val="Hipervnculo"/>
          </w:rPr>
          <w:t>aquí</w:t>
        </w:r>
      </w:hyperlink>
      <w:r w:rsidRPr="00136421">
        <w:t>.</w:t>
      </w:r>
    </w:p>
    <w:p w14:paraId="7DC41482" w14:textId="0344390C" w:rsidR="00136421" w:rsidRPr="00136421" w:rsidRDefault="007A4BEF" w:rsidP="00136421">
      <w:pPr>
        <w:jc w:val="both"/>
      </w:pPr>
      <w:hyperlink r:id="rId7" w:history="1">
        <w:r w:rsidR="00136421" w:rsidRPr="00136421">
          <w:rPr>
            <w:rStyle w:val="Hipervnculo"/>
          </w:rPr>
          <w:t>CIP</w:t>
        </w:r>
        <w:r w:rsidR="00FA6AB1">
          <w:rPr>
            <w:rStyle w:val="Hipervnculo"/>
          </w:rPr>
          <w:t xml:space="preserve"> </w:t>
        </w:r>
      </w:hyperlink>
      <w:hyperlink r:id="rId8" w:history="1">
        <w:r w:rsidR="00136421" w:rsidRPr="00136421">
          <w:rPr>
            <w:rStyle w:val="Hipervnculo"/>
          </w:rPr>
          <w:t>SEC</w:t>
        </w:r>
        <w:r w:rsidR="00FA6AB1">
          <w:rPr>
            <w:rStyle w:val="Hipervnculo"/>
          </w:rPr>
          <w:t xml:space="preserve"> </w:t>
        </w:r>
      </w:hyperlink>
      <w:hyperlink r:id="rId9" w:history="1">
        <w:r w:rsidR="00136421" w:rsidRPr="00136421">
          <w:rPr>
            <w:rStyle w:val="Hipervnculo"/>
          </w:rPr>
          <w:t>EE.UU.</w:t>
        </w:r>
      </w:hyperlink>
    </w:p>
    <w:p w14:paraId="6653B04B" w14:textId="5A942D92" w:rsidR="00136421" w:rsidRPr="00136421" w:rsidRDefault="00136421" w:rsidP="00136421">
      <w:pPr>
        <w:jc w:val="both"/>
      </w:pPr>
    </w:p>
    <w:p w14:paraId="4B4CC203" w14:textId="502A6BFE" w:rsidR="00335D35" w:rsidRDefault="00335D35" w:rsidP="00136421">
      <w:pPr>
        <w:jc w:val="both"/>
      </w:pPr>
    </w:p>
    <w:p w14:paraId="067DDAB9" w14:textId="253CB0D1" w:rsidR="00136421" w:rsidRDefault="00136421"/>
    <w:p w14:paraId="245811F4" w14:textId="61B570D1" w:rsidR="00136421" w:rsidRDefault="00136421"/>
    <w:p w14:paraId="08B5DE17" w14:textId="6355AAC1" w:rsidR="00136421" w:rsidRDefault="00136421"/>
    <w:p w14:paraId="688486C0" w14:textId="3F326F62" w:rsidR="007A4BEF" w:rsidRDefault="007A4BEF"/>
    <w:p w14:paraId="0CE7D134" w14:textId="3451801F" w:rsidR="007A4BEF" w:rsidRDefault="007A4BEF"/>
    <w:p w14:paraId="35AD02FF" w14:textId="4958D364" w:rsidR="007A4BEF" w:rsidRDefault="007A4BEF"/>
    <w:p w14:paraId="6FB28C9A" w14:textId="2FC8D1A7" w:rsidR="007A4BEF" w:rsidRDefault="007A4BEF"/>
    <w:p w14:paraId="461FC81D" w14:textId="4C4CCF36" w:rsidR="007A4BEF" w:rsidRDefault="007A4BEF"/>
    <w:p w14:paraId="39B619D1" w14:textId="1A09408B" w:rsidR="007A4BEF" w:rsidRDefault="007A4BEF"/>
    <w:p w14:paraId="6FFDD143" w14:textId="7751DD17" w:rsidR="007A4BEF" w:rsidRDefault="007A4BEF"/>
    <w:p w14:paraId="1A9BAEF9" w14:textId="6194446C" w:rsidR="007A4BEF" w:rsidRDefault="007A4BEF"/>
    <w:p w14:paraId="1011C565" w14:textId="14CE6539" w:rsidR="007A4BEF" w:rsidRDefault="007A4BEF"/>
    <w:p w14:paraId="4D0DF1A8" w14:textId="2AFC8B7B" w:rsidR="007A4BEF" w:rsidRDefault="007A4BEF"/>
    <w:p w14:paraId="357FB22B" w14:textId="7EE2F635" w:rsidR="007A4BEF" w:rsidRDefault="007A4BEF"/>
    <w:p w14:paraId="640C403E" w14:textId="77777777" w:rsidR="007A4BEF" w:rsidRDefault="007A4BEF"/>
    <w:p w14:paraId="15A0A061" w14:textId="4E355CB7" w:rsidR="00136421" w:rsidRDefault="00136421"/>
    <w:p w14:paraId="7032AA26" w14:textId="09A1DD06" w:rsidR="00136421" w:rsidRDefault="00136421"/>
    <w:p w14:paraId="21A8E069" w14:textId="62042225" w:rsidR="00136421" w:rsidRDefault="00136421">
      <w:r w:rsidRPr="00136421">
        <w:rPr>
          <w:noProof/>
        </w:rPr>
        <w:drawing>
          <wp:inline distT="0" distB="0" distL="0" distR="0" wp14:anchorId="539ECA72" wp14:editId="6C81CA88">
            <wp:extent cx="5612130" cy="10153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015365"/>
                    </a:xfrm>
                    <a:prstGeom prst="rect">
                      <a:avLst/>
                    </a:prstGeom>
                  </pic:spPr>
                </pic:pic>
              </a:graphicData>
            </a:graphic>
          </wp:inline>
        </w:drawing>
      </w:r>
    </w:p>
    <w:p w14:paraId="058BAD36" w14:textId="07BA1AC6" w:rsidR="00136421" w:rsidRPr="00136421" w:rsidRDefault="007A4BEF" w:rsidP="00136421">
      <w:pPr>
        <w:jc w:val="both"/>
        <w:rPr>
          <w:b/>
          <w:bCs/>
        </w:rPr>
      </w:pPr>
      <w:hyperlink r:id="rId11" w:history="1">
        <w:r w:rsidR="00136421" w:rsidRPr="00136421">
          <w:rPr>
            <w:rStyle w:val="Hipervnculo"/>
            <w:b/>
            <w:bCs/>
          </w:rPr>
          <w:t>Pre</w:t>
        </w:r>
        <w:r w:rsidR="00136421">
          <w:rPr>
            <w:rStyle w:val="Hipervnculo"/>
            <w:b/>
            <w:bCs/>
          </w:rPr>
          <w:t>s</w:t>
        </w:r>
        <w:r w:rsidR="00136421" w:rsidRPr="00136421">
          <w:rPr>
            <w:rStyle w:val="Hipervnculo"/>
            <w:b/>
            <w:bCs/>
          </w:rPr>
          <w:t xml:space="preserve">s </w:t>
        </w:r>
        <w:r w:rsidR="00136421">
          <w:rPr>
            <w:rStyle w:val="Hipervnculo"/>
            <w:b/>
            <w:bCs/>
          </w:rPr>
          <w:t>Release</w:t>
        </w:r>
      </w:hyperlink>
    </w:p>
    <w:p w14:paraId="5A809A20" w14:textId="77777777" w:rsidR="00136421" w:rsidRPr="00136421" w:rsidRDefault="00136421" w:rsidP="00136421">
      <w:pPr>
        <w:jc w:val="both"/>
      </w:pPr>
      <w:r w:rsidRPr="00136421">
        <w:t>La SEC y la FinCEN proponen requisitos del programa de identificación de clientes para asesores de inversiones registrados y asesores exentos de presentación de informes</w:t>
      </w:r>
    </w:p>
    <w:p w14:paraId="12A5AF98" w14:textId="291E7A6A" w:rsidR="00136421" w:rsidRPr="00136421" w:rsidRDefault="00136421" w:rsidP="00136421">
      <w:pPr>
        <w:jc w:val="both"/>
        <w:rPr>
          <w:b/>
          <w:bCs/>
        </w:rPr>
      </w:pPr>
      <w:r w:rsidRPr="00136421">
        <w:rPr>
          <w:b/>
          <w:bCs/>
        </w:rPr>
        <w:t>PARA PUBLICACIÓN INMEDIATA</w:t>
      </w:r>
      <w:r>
        <w:rPr>
          <w:b/>
          <w:bCs/>
        </w:rPr>
        <w:t xml:space="preserve"> | </w:t>
      </w:r>
      <w:r w:rsidRPr="00136421">
        <w:rPr>
          <w:b/>
          <w:bCs/>
        </w:rPr>
        <w:t>2024-54</w:t>
      </w:r>
    </w:p>
    <w:p w14:paraId="794E1842" w14:textId="77777777" w:rsidR="00136421" w:rsidRPr="00136421" w:rsidRDefault="00136421" w:rsidP="00136421">
      <w:pPr>
        <w:jc w:val="both"/>
        <w:rPr>
          <w:i/>
          <w:iCs/>
        </w:rPr>
      </w:pPr>
      <w:r w:rsidRPr="00136421">
        <w:rPr>
          <w:i/>
          <w:iCs/>
        </w:rPr>
        <w:t>Washington DC, 13 de mayo de 2024 -</w:t>
      </w:r>
    </w:p>
    <w:p w14:paraId="4405851A" w14:textId="77777777" w:rsidR="00136421" w:rsidRPr="00136421" w:rsidRDefault="00136421" w:rsidP="00136421">
      <w:pPr>
        <w:jc w:val="both"/>
      </w:pPr>
      <w:r w:rsidRPr="00136421">
        <w:t>Hoy, la Comisión de Bolsa y Valores y la Red de Ejecución de Delitos Financieros (FinCEN) del Departamento del Tesoro de EE. UU. propusieron conjuntamente una nueva regla que requeriría que los asesores de inversiones registrados en la SEC (RIA) y los asesores de informes exentos (ERA) establezcan, documenten y mantengan Programas escritos de identificación de clientes (CIP). La propuesta está diseñada para prevenir actividades financieras ilícitas que involucren a los clientes de asesores de inversiones mediante el fortalecimiento del marco contra el lavado de dinero y la financiación del terrorismo (AML/CFT) para el sector de asesores de inversiones.</w:t>
      </w:r>
    </w:p>
    <w:p w14:paraId="22D00A4B" w14:textId="77777777" w:rsidR="00136421" w:rsidRPr="00136421" w:rsidRDefault="00136421" w:rsidP="00136421">
      <w:pPr>
        <w:jc w:val="both"/>
      </w:pPr>
      <w:r w:rsidRPr="00136421">
        <w:t>Según esta propuesta, los RIA y las ERA deberían implementar procedimientos razonables para identificar y verificar la identidad de sus clientes, entre otros requisitos, a fin de formar una creencia razonable de que los RIA y las ERA conocen la verdadera identidad de sus clientes. La regla propuesta haría más difícil para los actores criminales, corruptos o ilícitos establecer relaciones con clientes (incluso mediante el uso de identidades falsas) con asesores de inversiones con el fin de lavar dinero, financiar el terrorismo o participar en otras actividades financieras ilícitas.</w:t>
      </w:r>
    </w:p>
    <w:p w14:paraId="22279C8A" w14:textId="0748316B" w:rsidR="00136421" w:rsidRPr="00136421" w:rsidRDefault="00136421" w:rsidP="00136421">
      <w:pPr>
        <w:jc w:val="both"/>
      </w:pPr>
      <w:r w:rsidRPr="00136421">
        <w:t>Esta reglamentación propuesta complementa una propuesta separada de FinCEN en febrero de 2024 para designar a los RIA y ERA como “instituciones financieras” según la Ley de Secreto Bancario (BSA) y sujetarlas a los requisitos del programa ALD/CFT y a las obligaciones de presentación de informes de actividades sospechosas (SAR), entre otr</w:t>
      </w:r>
      <w:r w:rsidR="00EB4C8B">
        <w:t>o</w:t>
      </w:r>
      <w:r w:rsidRPr="00136421">
        <w:t>s requisitos. Esa propuesta cita una</w:t>
      </w:r>
      <w:r w:rsidR="00FA6AB1">
        <w:t xml:space="preserve"> </w:t>
      </w:r>
      <w:hyperlink r:id="rId12" w:history="1">
        <w:r w:rsidRPr="00136421">
          <w:rPr>
            <w:rStyle w:val="Hipervnculo"/>
          </w:rPr>
          <w:t>evaluación de riesgos del Tesoro</w:t>
        </w:r>
      </w:hyperlink>
      <w:r w:rsidR="00FA6AB1">
        <w:t xml:space="preserve"> </w:t>
      </w:r>
      <w:r w:rsidRPr="00136421">
        <w:t>que identificó que la industria de asesores de inversiones ha servido como punto de entrada al mercado estadounidense para ingresos ilícitos asociados con corrupción, fraude, evasión fiscal y otras actividades criminales en el extranjero. En conjunto, estas propuestas tienen como objetivo prevenir la actividad financiera ilícita en el sector de asesores de inversiones y salvaguardar aún más el sistema financiero estadounidense.</w:t>
      </w:r>
    </w:p>
    <w:p w14:paraId="64AD23EF" w14:textId="779C9AA7" w:rsidR="00136421" w:rsidRPr="00136421" w:rsidRDefault="00136421" w:rsidP="00136421">
      <w:pPr>
        <w:jc w:val="both"/>
      </w:pPr>
      <w:r w:rsidRPr="00136421">
        <w:t>"La regla propuesta está diseñada para hacer más difícil el uso de identidades falsas para establecer relaciones de clientes con asesores de inversiones", dijo el presidente de la SEC, Gary Gensler. "Apoyo esta propuesta porque podría reducir el riesgo de que terroristas y otros delincuentes accedan a los mercados financieros estadounidenses para lavar dinero, financiar el terrorismo o mover fondos para otros fines ilícitos".</w:t>
      </w:r>
    </w:p>
    <w:p w14:paraId="614884CE" w14:textId="77777777" w:rsidR="00136421" w:rsidRPr="00136421" w:rsidRDefault="00136421" w:rsidP="00136421">
      <w:pPr>
        <w:jc w:val="both"/>
      </w:pPr>
      <w:r w:rsidRPr="00136421">
        <w:lastRenderedPageBreak/>
        <w:t>“Los actores criminales, corruptos e ilícitos han explotado el sector de asesores de inversiones para acceder al sistema financiero estadounidense y lavar fondos”, dijo la directora de FinCEN, Andrea Gacki. "Esta propuesta ayudaría a los asesores de inversiones a identificar mejor y evitar que actores ilícitos hagan un mal uso de sus servicios, al tiempo que promovería un conjunto armonizado de obligaciones CIP".</w:t>
      </w:r>
    </w:p>
    <w:p w14:paraId="361BABC7" w14:textId="77777777" w:rsidR="00136421" w:rsidRPr="00136421" w:rsidRDefault="00136421" w:rsidP="00136421">
      <w:pPr>
        <w:jc w:val="both"/>
      </w:pPr>
      <w:r w:rsidRPr="00136421">
        <w:t>La regla, si se adopta, requeriría que los RIA y ERA, entre otras cosas, implementen un CIP que incluya procedimientos para verificar la identidad de cada cliente en la medida de lo razonable y practicable y que mantengan registros de la información utilizada para verificar la identidad de un cliente, entre otras cosas. otros requerimientos. La propuesta es generalmente consistente con los requisitos del CIP para otras instituciones financieras, como corredores o comerciantes de valores y fondos mutuos.</w:t>
      </w:r>
    </w:p>
    <w:p w14:paraId="5E99BC12" w14:textId="25C1518F" w:rsidR="00136421" w:rsidRPr="00136421" w:rsidRDefault="00136421" w:rsidP="00136421">
      <w:pPr>
        <w:jc w:val="both"/>
      </w:pPr>
      <w:r w:rsidRPr="00136421">
        <w:t>La</w:t>
      </w:r>
      <w:r w:rsidR="00FA6AB1">
        <w:t xml:space="preserve"> </w:t>
      </w:r>
      <w:hyperlink r:id="rId13" w:history="1">
        <w:r w:rsidRPr="00136421">
          <w:rPr>
            <w:rStyle w:val="Hipervnculo"/>
          </w:rPr>
          <w:t>propuesta está publicada</w:t>
        </w:r>
      </w:hyperlink>
      <w:r w:rsidR="00FA6AB1">
        <w:t xml:space="preserve"> </w:t>
      </w:r>
      <w:r w:rsidRPr="00136421">
        <w:t>en SEC.gov y se publicará en el Registro Federal. El período de comentarios públicos permanecerá abierto durante 60 días después de la publicación de la propuesta en el Registro Federal. Está disponible</w:t>
      </w:r>
      <w:r w:rsidR="00FA6AB1">
        <w:t xml:space="preserve"> </w:t>
      </w:r>
      <w:r w:rsidRPr="00136421">
        <w:t>una</w:t>
      </w:r>
      <w:r w:rsidR="00FA6AB1">
        <w:t xml:space="preserve"> </w:t>
      </w:r>
      <w:hyperlink r:id="rId14" w:history="1">
        <w:r w:rsidRPr="00136421">
          <w:rPr>
            <w:rStyle w:val="Hipervnculo"/>
          </w:rPr>
          <w:t>hoja informativa</w:t>
        </w:r>
      </w:hyperlink>
      <w:r w:rsidR="00FA6AB1">
        <w:t xml:space="preserve"> </w:t>
      </w:r>
      <w:r w:rsidRPr="00136421">
        <w:t>sobre el Aviso de reglamentación propuesta.</w:t>
      </w:r>
    </w:p>
    <w:p w14:paraId="4AD0E304" w14:textId="77777777" w:rsidR="00136421" w:rsidRPr="00136421" w:rsidRDefault="00136421" w:rsidP="00136421">
      <w:pPr>
        <w:jc w:val="center"/>
        <w:rPr>
          <w:i/>
          <w:iCs/>
        </w:rPr>
      </w:pPr>
      <w:r w:rsidRPr="00136421">
        <w:rPr>
          <w:i/>
          <w:iCs/>
        </w:rPr>
        <w:t>###</w:t>
      </w:r>
    </w:p>
    <w:p w14:paraId="57073918" w14:textId="77777777" w:rsidR="00136421" w:rsidRDefault="00136421" w:rsidP="00136421">
      <w:pPr>
        <w:jc w:val="both"/>
      </w:pPr>
    </w:p>
    <w:sectPr w:rsidR="001364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21"/>
    <w:rsid w:val="00136421"/>
    <w:rsid w:val="00335D35"/>
    <w:rsid w:val="007A4BEF"/>
    <w:rsid w:val="00EB4C8B"/>
    <w:rsid w:val="00F73E12"/>
    <w:rsid w:val="00FA6A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24B3"/>
  <w15:chartTrackingRefBased/>
  <w15:docId w15:val="{5425E704-C284-42AB-BFCD-1CD60FE1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6421"/>
    <w:rPr>
      <w:color w:val="0563C1" w:themeColor="hyperlink"/>
      <w:u w:val="single"/>
    </w:rPr>
  </w:style>
  <w:style w:type="character" w:styleId="Mencinsinresolver">
    <w:name w:val="Unresolved Mention"/>
    <w:basedOn w:val="Fuentedeprrafopredeter"/>
    <w:uiPriority w:val="99"/>
    <w:semiHidden/>
    <w:unhideWhenUsed/>
    <w:rsid w:val="0013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05834">
      <w:bodyDiv w:val="1"/>
      <w:marLeft w:val="0"/>
      <w:marRight w:val="0"/>
      <w:marTop w:val="0"/>
      <w:marBottom w:val="0"/>
      <w:divBdr>
        <w:top w:val="none" w:sz="0" w:space="0" w:color="auto"/>
        <w:left w:val="none" w:sz="0" w:space="0" w:color="auto"/>
        <w:bottom w:val="none" w:sz="0" w:space="0" w:color="auto"/>
        <w:right w:val="none" w:sz="0" w:space="0" w:color="auto"/>
      </w:divBdr>
      <w:divsChild>
        <w:div w:id="1651516914">
          <w:marLeft w:val="0"/>
          <w:marRight w:val="0"/>
          <w:marTop w:val="0"/>
          <w:marBottom w:val="300"/>
          <w:divBdr>
            <w:top w:val="none" w:sz="0" w:space="0" w:color="auto"/>
            <w:left w:val="none" w:sz="0" w:space="0" w:color="auto"/>
            <w:bottom w:val="none" w:sz="0" w:space="0" w:color="auto"/>
            <w:right w:val="none" w:sz="0" w:space="0" w:color="auto"/>
          </w:divBdr>
          <w:divsChild>
            <w:div w:id="1774980353">
              <w:marLeft w:val="0"/>
              <w:marRight w:val="0"/>
              <w:marTop w:val="0"/>
              <w:marBottom w:val="0"/>
              <w:divBdr>
                <w:top w:val="none" w:sz="0" w:space="0" w:color="auto"/>
                <w:left w:val="none" w:sz="0" w:space="0" w:color="auto"/>
                <w:bottom w:val="none" w:sz="0" w:space="0" w:color="auto"/>
                <w:right w:val="none" w:sz="0" w:space="0" w:color="auto"/>
              </w:divBdr>
            </w:div>
          </w:divsChild>
        </w:div>
        <w:div w:id="866674369">
          <w:marLeft w:val="0"/>
          <w:marRight w:val="0"/>
          <w:marTop w:val="0"/>
          <w:marBottom w:val="300"/>
          <w:divBdr>
            <w:top w:val="none" w:sz="0" w:space="0" w:color="auto"/>
            <w:left w:val="none" w:sz="0" w:space="0" w:color="auto"/>
            <w:bottom w:val="none" w:sz="0" w:space="0" w:color="auto"/>
            <w:right w:val="none" w:sz="0" w:space="0" w:color="auto"/>
          </w:divBdr>
          <w:divsChild>
            <w:div w:id="9157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0911">
      <w:bodyDiv w:val="1"/>
      <w:marLeft w:val="0"/>
      <w:marRight w:val="0"/>
      <w:marTop w:val="0"/>
      <w:marBottom w:val="0"/>
      <w:divBdr>
        <w:top w:val="none" w:sz="0" w:space="0" w:color="auto"/>
        <w:left w:val="none" w:sz="0" w:space="0" w:color="auto"/>
        <w:bottom w:val="none" w:sz="0" w:space="0" w:color="auto"/>
        <w:right w:val="none" w:sz="0" w:space="0" w:color="auto"/>
      </w:divBdr>
      <w:divsChild>
        <w:div w:id="114952337">
          <w:marLeft w:val="0"/>
          <w:marRight w:val="0"/>
          <w:marTop w:val="0"/>
          <w:marBottom w:val="300"/>
          <w:divBdr>
            <w:top w:val="none" w:sz="0" w:space="0" w:color="auto"/>
            <w:left w:val="none" w:sz="0" w:space="0" w:color="auto"/>
            <w:bottom w:val="none" w:sz="0" w:space="0" w:color="auto"/>
            <w:right w:val="none" w:sz="0" w:space="0" w:color="auto"/>
          </w:divBdr>
          <w:divsChild>
            <w:div w:id="1874344911">
              <w:marLeft w:val="0"/>
              <w:marRight w:val="0"/>
              <w:marTop w:val="0"/>
              <w:marBottom w:val="0"/>
              <w:divBdr>
                <w:top w:val="none" w:sz="0" w:space="0" w:color="auto"/>
                <w:left w:val="none" w:sz="0" w:space="0" w:color="auto"/>
                <w:bottom w:val="none" w:sz="0" w:space="0" w:color="auto"/>
                <w:right w:val="none" w:sz="0" w:space="0" w:color="auto"/>
              </w:divBdr>
            </w:div>
          </w:divsChild>
        </w:div>
        <w:div w:id="1588341470">
          <w:marLeft w:val="0"/>
          <w:marRight w:val="0"/>
          <w:marTop w:val="0"/>
          <w:marBottom w:val="300"/>
          <w:divBdr>
            <w:top w:val="none" w:sz="0" w:space="0" w:color="auto"/>
            <w:left w:val="none" w:sz="0" w:space="0" w:color="auto"/>
            <w:bottom w:val="none" w:sz="0" w:space="0" w:color="auto"/>
            <w:right w:val="none" w:sz="0" w:space="0" w:color="auto"/>
          </w:divBdr>
          <w:divsChild>
            <w:div w:id="4490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6885">
      <w:bodyDiv w:val="1"/>
      <w:marLeft w:val="0"/>
      <w:marRight w:val="0"/>
      <w:marTop w:val="0"/>
      <w:marBottom w:val="0"/>
      <w:divBdr>
        <w:top w:val="none" w:sz="0" w:space="0" w:color="auto"/>
        <w:left w:val="none" w:sz="0" w:space="0" w:color="auto"/>
        <w:bottom w:val="none" w:sz="0" w:space="0" w:color="auto"/>
        <w:right w:val="none" w:sz="0" w:space="0" w:color="auto"/>
      </w:divBdr>
      <w:divsChild>
        <w:div w:id="11687059">
          <w:marLeft w:val="0"/>
          <w:marRight w:val="0"/>
          <w:marTop w:val="0"/>
          <w:marBottom w:val="0"/>
          <w:divBdr>
            <w:top w:val="none" w:sz="0" w:space="0" w:color="auto"/>
            <w:left w:val="none" w:sz="0" w:space="0" w:color="auto"/>
            <w:bottom w:val="none" w:sz="0" w:space="0" w:color="auto"/>
            <w:right w:val="none" w:sz="0" w:space="0" w:color="auto"/>
          </w:divBdr>
        </w:div>
        <w:div w:id="730693135">
          <w:marLeft w:val="0"/>
          <w:marRight w:val="0"/>
          <w:marTop w:val="300"/>
          <w:marBottom w:val="300"/>
          <w:divBdr>
            <w:top w:val="none" w:sz="0" w:space="0" w:color="auto"/>
            <w:left w:val="none" w:sz="0" w:space="0" w:color="auto"/>
            <w:bottom w:val="none" w:sz="0" w:space="0" w:color="auto"/>
            <w:right w:val="none" w:sz="0" w:space="0" w:color="auto"/>
          </w:divBdr>
        </w:div>
        <w:div w:id="1646668239">
          <w:marLeft w:val="0"/>
          <w:marRight w:val="0"/>
          <w:marTop w:val="600"/>
          <w:marBottom w:val="0"/>
          <w:divBdr>
            <w:top w:val="none" w:sz="0" w:space="0" w:color="auto"/>
            <w:left w:val="none" w:sz="0" w:space="0" w:color="auto"/>
            <w:bottom w:val="none" w:sz="0" w:space="0" w:color="auto"/>
            <w:right w:val="none" w:sz="0" w:space="0" w:color="auto"/>
          </w:divBdr>
          <w:divsChild>
            <w:div w:id="1056011144">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sec/" TargetMode="External"/><Relationship Id="rId13" Type="http://schemas.openxmlformats.org/officeDocument/2006/relationships/hyperlink" Target="https://www.sec.gov/files/rules/proposed/2024/bsa-1.pdf" TargetMode="External"/><Relationship Id="rId3" Type="http://schemas.openxmlformats.org/officeDocument/2006/relationships/webSettings" Target="webSettings.xml"/><Relationship Id="rId7" Type="http://schemas.openxmlformats.org/officeDocument/2006/relationships/hyperlink" Target="https://www.xbrl.org/tag/cip/" TargetMode="External"/><Relationship Id="rId12" Type="http://schemas.openxmlformats.org/officeDocument/2006/relationships/hyperlink" Target="https://home.treasury.gov/system/files/136/US-Sectoral-Illicit-Finance-Risk-Assessment-Investment-Advisers.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ec.gov/news/press-release/2024-54" TargetMode="External"/><Relationship Id="rId11" Type="http://schemas.openxmlformats.org/officeDocument/2006/relationships/hyperlink" Target="https://www.sec.gov/news/pressreleases" TargetMode="External"/><Relationship Id="rId5" Type="http://schemas.openxmlformats.org/officeDocument/2006/relationships/hyperlink" Target="https://www.xbrl.org/news/sec-and-fincen-propose-new-customer-identification-rules-for-investment-advisers/"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us/" TargetMode="External"/><Relationship Id="rId14" Type="http://schemas.openxmlformats.org/officeDocument/2006/relationships/hyperlink" Target="https://www.sec.gov/files/bsa-1-fact-sheet.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1141</Words>
  <Characters>6277</Characters>
  <Application>Microsoft Office Word</Application>
  <DocSecurity>0</DocSecurity>
  <Lines>52</Lines>
  <Paragraphs>14</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5</cp:revision>
  <dcterms:created xsi:type="dcterms:W3CDTF">2024-05-30T01:48:00Z</dcterms:created>
  <dcterms:modified xsi:type="dcterms:W3CDTF">2024-06-11T01:48:00Z</dcterms:modified>
</cp:coreProperties>
</file>