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9C61" w14:textId="77777777" w:rsidR="00E84450" w:rsidRPr="00A002E9" w:rsidRDefault="00E84450" w:rsidP="00E84450">
      <w:pPr>
        <w:rPr>
          <w:rFonts w:ascii="Arial Nova Cond" w:hAnsi="Arial Nova Cond"/>
          <w:sz w:val="28"/>
          <w:szCs w:val="28"/>
        </w:rPr>
      </w:pPr>
      <w:r w:rsidRPr="00A002E9">
        <w:rPr>
          <w:rFonts w:ascii="Arial Nova Cond" w:hAnsi="Arial Nova Cond"/>
          <w:sz w:val="28"/>
          <w:szCs w:val="28"/>
        </w:rPr>
        <w:t>La UE finaliza el retraso en las normas de sostenibilidad específicas del sector</w:t>
      </w:r>
    </w:p>
    <w:p w14:paraId="11C7254B" w14:textId="77C69BCE" w:rsidR="00E84450" w:rsidRPr="00E84450" w:rsidRDefault="00E84450" w:rsidP="00E84450">
      <w:r w:rsidRPr="00E84450">
        <w:rPr>
          <w:noProof/>
        </w:rPr>
        <w:drawing>
          <wp:inline distT="0" distB="0" distL="0" distR="0" wp14:anchorId="6EF77DA9" wp14:editId="09D97E15">
            <wp:extent cx="5612130" cy="374142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56560D32" w14:textId="77777777" w:rsidR="00A002E9" w:rsidRPr="00E84450" w:rsidRDefault="00A002E9" w:rsidP="00A002E9">
      <w:r w:rsidRPr="00E84450">
        <w:t>Publicado el 5 de mayo de 2024 por</w:t>
      </w:r>
      <w:r>
        <w:t xml:space="preserve"> </w:t>
      </w:r>
      <w:hyperlink r:id="rId5" w:history="1">
        <w:r w:rsidRPr="00E84450">
          <w:rPr>
            <w:rStyle w:val="Hipervnculo"/>
            <w:b/>
            <w:bCs/>
          </w:rPr>
          <w:t>Editor</w:t>
        </w:r>
      </w:hyperlink>
    </w:p>
    <w:p w14:paraId="1FEE6625" w14:textId="4907948C" w:rsidR="00E84450" w:rsidRPr="00E84450" w:rsidRDefault="00E84450" w:rsidP="00A002E9">
      <w:pPr>
        <w:jc w:val="both"/>
      </w:pPr>
      <w:r w:rsidRPr="00E84450">
        <w:t>El</w:t>
      </w:r>
      <w:r w:rsidR="00A002E9">
        <w:t xml:space="preserve"> </w:t>
      </w:r>
      <w:r w:rsidRPr="00E84450">
        <w:t>Parlamento Europeo ha dado el último y esperado paso al aprobar oficialmente una directiva para retrasar la implementación de estándares de divulgación de sostenibilidad específicos del sector y requisitos de presentación de informes para empresas fuera de la UE en virtud de la Directiva sobre informes de sostenibilidad corporativa (CSRD).</w:t>
      </w:r>
    </w:p>
    <w:p w14:paraId="17D16040" w14:textId="3C64D805" w:rsidR="00E84450" w:rsidRPr="00E84450" w:rsidRDefault="00E84450" w:rsidP="00A002E9">
      <w:pPr>
        <w:jc w:val="both"/>
      </w:pPr>
      <w:r w:rsidRPr="00E84450">
        <w:t>La aprobación de la directiva es el procedimiento final requerido por el Consejo de la UE para posponer la adopción de los Estándares Europeos de Informes de Sostenibilidad (ESRS) para sectores específicos y terceros países, algo que se ha estado abriendo camino a través de los diversos procesos desde</w:t>
      </w:r>
      <w:r w:rsidR="00A002E9">
        <w:t xml:space="preserve"> </w:t>
      </w:r>
      <w:hyperlink r:id="rId6" w:tgtFrame="_blank" w:history="1">
        <w:r w:rsidRPr="00E84450">
          <w:rPr>
            <w:rStyle w:val="Hipervnculo"/>
          </w:rPr>
          <w:t>octubre de 2023</w:t>
        </w:r>
      </w:hyperlink>
      <w:r w:rsidRPr="00E84450">
        <w:t>.</w:t>
      </w:r>
    </w:p>
    <w:p w14:paraId="566643AD" w14:textId="77777777" w:rsidR="00E84450" w:rsidRPr="00E84450" w:rsidRDefault="00E84450" w:rsidP="00A002E9">
      <w:pPr>
        <w:jc w:val="both"/>
      </w:pPr>
      <w:r w:rsidRPr="00E84450">
        <w:t>Propuesta inicialmente como parte del Programa de Trabajo 2024 de la Comisión de la UE para reducir la carga de presentación de informes, el retraso de dos años en la directiva actualizada tiene como objetivo dar a las empresas más tiempo para prepararse para los mayores requisitos de presentación de informes, y para que el Grupo Asesor Europeo en Información Financiera (EFRAG) pueda desarrollar nuevas normas sectoriales específicas.</w:t>
      </w:r>
    </w:p>
    <w:p w14:paraId="2C3F282E" w14:textId="77777777" w:rsidR="00E84450" w:rsidRPr="00E84450" w:rsidRDefault="00E84450" w:rsidP="00A002E9">
      <w:pPr>
        <w:jc w:val="both"/>
      </w:pPr>
      <w:r w:rsidRPr="00E84450">
        <w:t>Sin embargo, alentaríamos a las empresas a tomar ventaja pensando en lo digital desde el principio: la adopción temprana de prácticas de presentación de informes digitales ayudará a las empresas a mantenerse al tanto de los cambios regulatorios, crear procesos preparados para lo digital y prepararse internamente para la divulgación digital obligatoria que se acerca rápidamente.</w:t>
      </w:r>
    </w:p>
    <w:p w14:paraId="0DF52882" w14:textId="362FA9C8" w:rsidR="00E84450" w:rsidRPr="00E84450" w:rsidRDefault="00E84450" w:rsidP="00086C43">
      <w:pPr>
        <w:spacing w:after="0"/>
      </w:pPr>
      <w:r w:rsidRPr="00E84450">
        <w:t>Leer más</w:t>
      </w:r>
      <w:r w:rsidR="00A002E9">
        <w:t xml:space="preserve"> </w:t>
      </w:r>
      <w:hyperlink r:id="rId7" w:tgtFrame="_blank" w:history="1">
        <w:r w:rsidRPr="00E84450">
          <w:rPr>
            <w:rStyle w:val="Hipervnculo"/>
          </w:rPr>
          <w:t>aquí</w:t>
        </w:r>
      </w:hyperlink>
      <w:r w:rsidRPr="00E84450">
        <w:t>.</w:t>
      </w:r>
    </w:p>
    <w:p w14:paraId="111FB4C2" w14:textId="37551FC1" w:rsidR="00E84450" w:rsidRPr="00E84450" w:rsidRDefault="00086C43" w:rsidP="00E84450">
      <w:hyperlink r:id="rId8" w:history="1">
        <w:r w:rsidR="00E84450" w:rsidRPr="00E84450">
          <w:rPr>
            <w:rStyle w:val="Hipervnculo"/>
          </w:rPr>
          <w:t>CSRD</w:t>
        </w:r>
        <w:r w:rsidR="00A002E9">
          <w:rPr>
            <w:rStyle w:val="Hipervnculo"/>
          </w:rPr>
          <w:t xml:space="preserve"> </w:t>
        </w:r>
      </w:hyperlink>
      <w:hyperlink r:id="rId9" w:history="1">
        <w:r w:rsidR="00E84450" w:rsidRPr="00E84450">
          <w:rPr>
            <w:rStyle w:val="Hipervnculo"/>
          </w:rPr>
          <w:t>ESRS</w:t>
        </w:r>
        <w:r w:rsidR="00A002E9">
          <w:rPr>
            <w:rStyle w:val="Hipervnculo"/>
          </w:rPr>
          <w:t xml:space="preserve"> </w:t>
        </w:r>
      </w:hyperlink>
      <w:hyperlink r:id="rId10" w:history="1">
        <w:r w:rsidR="00E84450" w:rsidRPr="00E84450">
          <w:rPr>
            <w:rStyle w:val="Hipervnculo"/>
          </w:rPr>
          <w:t>UE</w:t>
        </w:r>
      </w:hyperlink>
    </w:p>
    <w:p w14:paraId="08662C6E" w14:textId="67CB9500" w:rsidR="00E84450" w:rsidRPr="00E84450" w:rsidRDefault="00E84450" w:rsidP="00E84450"/>
    <w:p w14:paraId="10066F41" w14:textId="5CEE15BD" w:rsidR="004F646E" w:rsidRDefault="004F646E"/>
    <w:p w14:paraId="34C4D9DD" w14:textId="7EE6C3D4" w:rsidR="00E84450" w:rsidRDefault="00E84450"/>
    <w:p w14:paraId="75F3A655" w14:textId="1F40F0B5" w:rsidR="00E84450" w:rsidRDefault="00E84450"/>
    <w:p w14:paraId="195F23E7" w14:textId="71F107B7" w:rsidR="00E84450" w:rsidRDefault="00E84450"/>
    <w:p w14:paraId="46C1FD87" w14:textId="030CFC6E" w:rsidR="00E84450" w:rsidRDefault="00E84450"/>
    <w:p w14:paraId="243CB1A0" w14:textId="4776FA4E" w:rsidR="00E84450" w:rsidRDefault="00E84450"/>
    <w:p w14:paraId="3A6D4F23" w14:textId="3840B115" w:rsidR="00E84450" w:rsidRDefault="00E84450"/>
    <w:p w14:paraId="24D649EC" w14:textId="4BDEADAA" w:rsidR="00E84450" w:rsidRDefault="00E84450"/>
    <w:p w14:paraId="1598E0C8" w14:textId="7E6C2184" w:rsidR="00E84450" w:rsidRPr="00086C43" w:rsidRDefault="00E84450" w:rsidP="00086C43">
      <w:pPr>
        <w:jc w:val="both"/>
        <w:rPr>
          <w:rFonts w:ascii="Arial Nova Cond" w:hAnsi="Arial Nova Cond"/>
          <w:sz w:val="24"/>
          <w:szCs w:val="24"/>
        </w:rPr>
      </w:pPr>
      <w:r w:rsidRPr="00086C43">
        <w:rPr>
          <w:rFonts w:ascii="Arial Nova Cond" w:hAnsi="Arial Nova Cond"/>
          <w:sz w:val="24"/>
          <w:szCs w:val="24"/>
        </w:rPr>
        <w:t>La UE aprueba un retraso de dos años en las normas de presentación de informes de sostenibilidad para sectores específicos y empresas de fuera de la UE</w:t>
      </w:r>
    </w:p>
    <w:p w14:paraId="46470252" w14:textId="77777777" w:rsidR="00A002E9" w:rsidRDefault="00E84450" w:rsidP="00E84450">
      <w:r w:rsidRPr="00E84450">
        <w:rPr>
          <w:noProof/>
        </w:rPr>
        <w:drawing>
          <wp:inline distT="0" distB="0" distL="0" distR="0" wp14:anchorId="578B49BE" wp14:editId="605643B7">
            <wp:extent cx="952500" cy="952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CAED610" w14:textId="2A56D138" w:rsidR="00A002E9" w:rsidRDefault="00086C43" w:rsidP="00A002E9">
      <w:pPr>
        <w:spacing w:after="0"/>
      </w:pPr>
      <w:hyperlink r:id="rId12" w:history="1">
        <w:r w:rsidR="00E84450" w:rsidRPr="00E84450">
          <w:rPr>
            <w:rStyle w:val="Hipervnculo"/>
          </w:rPr>
          <w:t>Marcos Segal</w:t>
        </w:r>
      </w:hyperlink>
    </w:p>
    <w:p w14:paraId="24F41B92" w14:textId="449113BB" w:rsidR="00E84450" w:rsidRPr="00E84450" w:rsidRDefault="00E84450" w:rsidP="00E84450">
      <w:r w:rsidRPr="00E84450">
        <w:t>30 de abril de 2024</w:t>
      </w:r>
    </w:p>
    <w:p w14:paraId="43D26B62" w14:textId="77777777" w:rsidR="00E84450" w:rsidRPr="00E84450" w:rsidRDefault="00E84450" w:rsidP="00E84450">
      <w:pPr>
        <w:jc w:val="both"/>
      </w:pPr>
      <w:r w:rsidRPr="00E84450">
        <w:t>Los estados miembros de la UE en el Consejo Europeo anunciaron que aprobaron una directiva que retrasa la adopción de estándares para que las empresas proporcionen divulgaciones de sostenibilidad específicas del sector y para informes de sostenibilidad de empresas fuera de la UE bajo la Directiva de Informes de Sostenibilidad Corporativa (CSRD).</w:t>
      </w:r>
    </w:p>
    <w:p w14:paraId="7A6E630B" w14:textId="77777777" w:rsidR="00E84450" w:rsidRPr="00E84450" w:rsidRDefault="00E84450" w:rsidP="00E84450">
      <w:pPr>
        <w:jc w:val="both"/>
      </w:pPr>
      <w:r w:rsidRPr="00E84450">
        <w:t>El anuncio del Consejo de la UE marca el paso final en la toma de decisiones en la adopción del aplazamiento de los Estándares Europeos de Informes de Sostenibilidad (ESRS) para sectores específicos y de terceros países, tras la aprobación de la directiva a principios de este mes por el Parlamento Europeo.</w:t>
      </w:r>
    </w:p>
    <w:p w14:paraId="1D811F27" w14:textId="77777777" w:rsidR="00E84450" w:rsidRPr="00E84450" w:rsidRDefault="00E84450" w:rsidP="00E84450">
      <w:pPr>
        <w:jc w:val="both"/>
      </w:pPr>
      <w:r w:rsidRPr="00E84450">
        <w:t>El ESRS establece las reglas y requisitos para que las empresas informen sobre los impactos, oportunidades y riesgos relacionados con la sostenibilidad en el marco del CSRD de la UE, que comenzó a aplicarse desde principios de 2024.</w:t>
      </w:r>
    </w:p>
    <w:p w14:paraId="7D94E3D8" w14:textId="77777777" w:rsidR="00E84450" w:rsidRPr="00E84450" w:rsidRDefault="00E84450" w:rsidP="00E84450">
      <w:pPr>
        <w:jc w:val="both"/>
      </w:pPr>
      <w:r w:rsidRPr="00E84450">
        <w:t>El retraso fue propuesto inicialmente por la Comisión de la UE en octubre como parte de su Programa de Trabajo de la Comisión para 2024, que incluía reducir la carga de presentación de informes para las empresas como una de sus prioridades, y destacó el aplazamiento de la fecha límite para la adopción de informes de sostenibilidad europeos específicos del sector. Estándares (ESRS) como una de las acciones clave enumeradas.</w:t>
      </w:r>
    </w:p>
    <w:p w14:paraId="53F5DD03" w14:textId="77777777" w:rsidR="00E84450" w:rsidRPr="00E84450" w:rsidRDefault="00E84450" w:rsidP="00E84450">
      <w:pPr>
        <w:jc w:val="both"/>
      </w:pPr>
      <w:r w:rsidRPr="00E84450">
        <w:lastRenderedPageBreak/>
        <w:t>Según el Consejo, el retraso permitirá a las empresas centrarse en la implementación del primer conjunto de ESRS, limitando los requisitos de presentación de informes para las empresas al mínimo necesario, además de proporcionar más tiempo para el desarrollo de los estándares sectoriales y no comunitarios. normas de presentación de informes de las empresas.</w:t>
      </w:r>
    </w:p>
    <w:p w14:paraId="1A2CAC8F" w14:textId="437BB14D" w:rsidR="00E84450" w:rsidRPr="00E84450" w:rsidRDefault="00E84450" w:rsidP="00E84450">
      <w:pPr>
        <w:jc w:val="both"/>
      </w:pPr>
      <w:r w:rsidRPr="00E84450">
        <w:t>El primer conjunto de reglas ESRS, que fueron</w:t>
      </w:r>
      <w:r w:rsidR="00A002E9">
        <w:t xml:space="preserve"> </w:t>
      </w:r>
      <w:hyperlink r:id="rId13" w:history="1">
        <w:r w:rsidRPr="00E84450">
          <w:rPr>
            <w:rStyle w:val="Hipervnculo"/>
          </w:rPr>
          <w:t>adoptadas por la Comisión en julio de 2023</w:t>
        </w:r>
      </w:hyperlink>
      <w:r w:rsidRPr="00E84450">
        <w:t>, estableció requisitos de informes de sostenibilidad independientes del sector, mientras que el CSRD posteriormente requirió la adopción de ESRS específicos del sector para fines de junio de 2024, que describen información de sostenibilidad para las empresas. para informar sobre las industrias en las que operan.</w:t>
      </w:r>
    </w:p>
    <w:p w14:paraId="3EE4B614" w14:textId="77777777" w:rsidR="00E84450" w:rsidRPr="00E84450" w:rsidRDefault="00E84450" w:rsidP="00E84450">
      <w:pPr>
        <w:jc w:val="both"/>
      </w:pPr>
      <w:r w:rsidRPr="00E84450">
        <w:t>El CSRD también incluyó un requisito para que las grandes empresas no pertenecientes a la UE que operan en la UE proporcionen informes de sostenibilidad, y la adopción por parte del ESRS de las reglas que se aplican a estas empresas también está programada inicialmente para fines de junio de 2024, y con requisitos de presentación de informes que comenzarán en 2028.</w:t>
      </w:r>
    </w:p>
    <w:p w14:paraId="6729E5B8" w14:textId="77777777" w:rsidR="00E84450" w:rsidRPr="00E84450" w:rsidRDefault="00E84450" w:rsidP="00E84450">
      <w:pPr>
        <w:jc w:val="both"/>
      </w:pPr>
      <w:r w:rsidRPr="00E84450">
        <w:t>Según la directiva recién adoptada, la nueva fecha para la adopción del ESRS para empresas de fuera de la UE se pospondrá hasta finales de junio de 2026. Si bien la fecha límite para el ESRS de un sector específico también se retrasará dos años, en el acuerdo entre las Consejo y Parlamento de la UE sobre la nueva directiva, los legisladores instaron a la Comisión a publicar y adoptar los estándares de informes sectoriales tan pronto como estén listos antes de la nueva fecha límite de 2026.</w:t>
      </w:r>
    </w:p>
    <w:p w14:paraId="4D5EB67C" w14:textId="6DE9B437" w:rsidR="00E84450" w:rsidRPr="00E84450" w:rsidRDefault="00E84450" w:rsidP="00E84450">
      <w:pPr>
        <w:jc w:val="both"/>
      </w:pPr>
      <w:r w:rsidRPr="00E84450">
        <w:rPr>
          <w:b/>
          <w:bCs/>
          <w:i/>
          <w:iCs/>
        </w:rPr>
        <w:t>Corrección:</w:t>
      </w:r>
      <w:r w:rsidR="00A002E9">
        <w:rPr>
          <w:b/>
          <w:bCs/>
          <w:i/>
          <w:iCs/>
        </w:rPr>
        <w:t xml:space="preserve"> </w:t>
      </w:r>
      <w:r w:rsidRPr="00E84450">
        <w:rPr>
          <w:i/>
          <w:iCs/>
        </w:rPr>
        <w:t>una versión anterior del artículo decía que las obligaciones de presentación de informes para las empresas no pertenecientes a la UE se retrasaron 2 años a partir de 2028. La fecha de 2028 no se ha modificado según la directiva recientemente adoptada.</w:t>
      </w:r>
    </w:p>
    <w:p w14:paraId="25762C3B" w14:textId="77777777" w:rsidR="00E84450" w:rsidRDefault="00E84450"/>
    <w:p w14:paraId="6DAC4065" w14:textId="6BE14424" w:rsidR="00E84450" w:rsidRPr="00E84450" w:rsidRDefault="00E84450" w:rsidP="00E84450">
      <w:r w:rsidRPr="00E84450">
        <w:rPr>
          <w:noProof/>
        </w:rPr>
        <w:drawing>
          <wp:inline distT="0" distB="0" distL="0" distR="0" wp14:anchorId="3D0E6E5A" wp14:editId="6B7B14FE">
            <wp:extent cx="914400" cy="91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42F4A65" w14:textId="77777777" w:rsidR="00E84450" w:rsidRPr="00E84450" w:rsidRDefault="00E84450" w:rsidP="00E84450">
      <w:pPr>
        <w:jc w:val="both"/>
      </w:pPr>
      <w:r w:rsidRPr="00E84450">
        <w:t>Mark fundó ESG Today tras una carrera de 20 años en gestión e investigación de inversiones. Antes de fundar ESG Today, Mark trabajó en Delaney Capital Management (DCM) en Toronto, Canadá, y más recientemente como director de acciones estadounidenses de la empresa. Mientras estuvo en DCM, Mark formó parte del equipo ESG de la empresa, responsable de evaluar y realizar un seguimiento de los factores de sostenibilidad que afectan a las empresas de la cartera y de evaluar la idoneidad de las empresas para su inclusión en la cartera. Mark también pasó varios años en la industria de investigación de ventas, cubriendo los sectores de tecnología y servicios. Mark tiene un MBA de la Universidad de Columbia en Nueva York, un BBA de la Schulich School of Business de la Universidad de York en Toronto y es titular de la certificación CFA.</w:t>
      </w:r>
    </w:p>
    <w:p w14:paraId="68045B9E" w14:textId="77777777" w:rsidR="00E84450" w:rsidRDefault="00E84450"/>
    <w:sectPr w:rsidR="00E844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50"/>
    <w:rsid w:val="00086C43"/>
    <w:rsid w:val="004F646E"/>
    <w:rsid w:val="00A002E9"/>
    <w:rsid w:val="00E84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53D0"/>
  <w15:chartTrackingRefBased/>
  <w15:docId w15:val="{0155ECFB-298B-4C78-8FE0-DD1DECD7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450"/>
    <w:rPr>
      <w:color w:val="0563C1" w:themeColor="hyperlink"/>
      <w:u w:val="single"/>
    </w:rPr>
  </w:style>
  <w:style w:type="character" w:styleId="Mencinsinresolver">
    <w:name w:val="Unresolved Mention"/>
    <w:basedOn w:val="Fuentedeprrafopredeter"/>
    <w:uiPriority w:val="99"/>
    <w:semiHidden/>
    <w:unhideWhenUsed/>
    <w:rsid w:val="00E84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72428">
      <w:bodyDiv w:val="1"/>
      <w:marLeft w:val="0"/>
      <w:marRight w:val="0"/>
      <w:marTop w:val="0"/>
      <w:marBottom w:val="0"/>
      <w:divBdr>
        <w:top w:val="none" w:sz="0" w:space="0" w:color="auto"/>
        <w:left w:val="none" w:sz="0" w:space="0" w:color="auto"/>
        <w:bottom w:val="none" w:sz="0" w:space="0" w:color="auto"/>
        <w:right w:val="none" w:sz="0" w:space="0" w:color="auto"/>
      </w:divBdr>
    </w:div>
    <w:div w:id="692341462">
      <w:bodyDiv w:val="1"/>
      <w:marLeft w:val="0"/>
      <w:marRight w:val="0"/>
      <w:marTop w:val="0"/>
      <w:marBottom w:val="0"/>
      <w:divBdr>
        <w:top w:val="none" w:sz="0" w:space="0" w:color="auto"/>
        <w:left w:val="none" w:sz="0" w:space="0" w:color="auto"/>
        <w:bottom w:val="none" w:sz="0" w:space="0" w:color="auto"/>
        <w:right w:val="none" w:sz="0" w:space="0" w:color="auto"/>
      </w:divBdr>
      <w:divsChild>
        <w:div w:id="49036273">
          <w:marLeft w:val="0"/>
          <w:marRight w:val="0"/>
          <w:marTop w:val="0"/>
          <w:marBottom w:val="0"/>
          <w:divBdr>
            <w:top w:val="none" w:sz="0" w:space="0" w:color="auto"/>
            <w:left w:val="none" w:sz="0" w:space="0" w:color="auto"/>
            <w:bottom w:val="none" w:sz="0" w:space="0" w:color="auto"/>
            <w:right w:val="none" w:sz="0" w:space="0" w:color="auto"/>
          </w:divBdr>
        </w:div>
      </w:divsChild>
    </w:div>
    <w:div w:id="993529689">
      <w:bodyDiv w:val="1"/>
      <w:marLeft w:val="0"/>
      <w:marRight w:val="0"/>
      <w:marTop w:val="0"/>
      <w:marBottom w:val="0"/>
      <w:divBdr>
        <w:top w:val="none" w:sz="0" w:space="0" w:color="auto"/>
        <w:left w:val="none" w:sz="0" w:space="0" w:color="auto"/>
        <w:bottom w:val="none" w:sz="0" w:space="0" w:color="auto"/>
        <w:right w:val="none" w:sz="0" w:space="0" w:color="auto"/>
      </w:divBdr>
      <w:divsChild>
        <w:div w:id="413480188">
          <w:marLeft w:val="0"/>
          <w:marRight w:val="0"/>
          <w:marTop w:val="0"/>
          <w:marBottom w:val="0"/>
          <w:divBdr>
            <w:top w:val="none" w:sz="0" w:space="0" w:color="auto"/>
            <w:left w:val="none" w:sz="0" w:space="0" w:color="auto"/>
            <w:bottom w:val="none" w:sz="0" w:space="0" w:color="auto"/>
            <w:right w:val="none" w:sz="0" w:space="0" w:color="auto"/>
          </w:divBdr>
        </w:div>
        <w:div w:id="885992025">
          <w:marLeft w:val="0"/>
          <w:marRight w:val="0"/>
          <w:marTop w:val="300"/>
          <w:marBottom w:val="300"/>
          <w:divBdr>
            <w:top w:val="none" w:sz="0" w:space="0" w:color="auto"/>
            <w:left w:val="none" w:sz="0" w:space="0" w:color="auto"/>
            <w:bottom w:val="none" w:sz="0" w:space="0" w:color="auto"/>
            <w:right w:val="none" w:sz="0" w:space="0" w:color="auto"/>
          </w:divBdr>
        </w:div>
        <w:div w:id="1710378738">
          <w:marLeft w:val="0"/>
          <w:marRight w:val="0"/>
          <w:marTop w:val="600"/>
          <w:marBottom w:val="0"/>
          <w:divBdr>
            <w:top w:val="none" w:sz="0" w:space="0" w:color="auto"/>
            <w:left w:val="none" w:sz="0" w:space="0" w:color="auto"/>
            <w:bottom w:val="none" w:sz="0" w:space="0" w:color="auto"/>
            <w:right w:val="none" w:sz="0" w:space="0" w:color="auto"/>
          </w:divBdr>
          <w:divsChild>
            <w:div w:id="72517931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241333430">
      <w:bodyDiv w:val="1"/>
      <w:marLeft w:val="0"/>
      <w:marRight w:val="0"/>
      <w:marTop w:val="0"/>
      <w:marBottom w:val="0"/>
      <w:divBdr>
        <w:top w:val="none" w:sz="0" w:space="0" w:color="auto"/>
        <w:left w:val="none" w:sz="0" w:space="0" w:color="auto"/>
        <w:bottom w:val="none" w:sz="0" w:space="0" w:color="auto"/>
        <w:right w:val="none" w:sz="0" w:space="0" w:color="auto"/>
      </w:divBdr>
      <w:divsChild>
        <w:div w:id="100054508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csrd/" TargetMode="External"/><Relationship Id="rId13" Type="http://schemas.openxmlformats.org/officeDocument/2006/relationships/hyperlink" Target="https://www.esgtoday.com/eu-commission-adopts-sustainability-reporting-rules/" TargetMode="External"/><Relationship Id="rId3" Type="http://schemas.openxmlformats.org/officeDocument/2006/relationships/webSettings" Target="webSettings.xml"/><Relationship Id="rId7" Type="http://schemas.openxmlformats.org/officeDocument/2006/relationships/hyperlink" Target="https://www.esgtoday.com/eu-approves-2-year-delay-to-sustainability-reporting-obligations-for-specific-sectors-and-non-eu-companies/" TargetMode="External"/><Relationship Id="rId12" Type="http://schemas.openxmlformats.org/officeDocument/2006/relationships/hyperlink" Target="https://www.esgtoday.com/author/mo-segal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xbrl.org/news/a-short-delay-but-dont-delay/" TargetMode="External"/><Relationship Id="rId11" Type="http://schemas.openxmlformats.org/officeDocument/2006/relationships/image" Target="media/image2.jpeg"/><Relationship Id="rId5" Type="http://schemas.openxmlformats.org/officeDocument/2006/relationships/hyperlink" Target="https://www.xbrl.org/news/eu-finalises-delay-to-sector-specific-sustainability-standards/" TargetMode="External"/><Relationship Id="rId15" Type="http://schemas.openxmlformats.org/officeDocument/2006/relationships/fontTable" Target="fontTable.xml"/><Relationship Id="rId10" Type="http://schemas.openxmlformats.org/officeDocument/2006/relationships/hyperlink" Target="https://www.xbrl.org/tag/eu/" TargetMode="External"/><Relationship Id="rId4" Type="http://schemas.openxmlformats.org/officeDocument/2006/relationships/image" Target="media/image1.jpeg"/><Relationship Id="rId9" Type="http://schemas.openxmlformats.org/officeDocument/2006/relationships/hyperlink" Target="https://www.xbrl.org/tag/esrs/"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1003</Words>
  <Characters>5521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2024-05-08T02:09:00Z</dcterms:created>
  <dcterms:modified xsi:type="dcterms:W3CDTF">2024-06-11T01:52:00Z</dcterms:modified>
</cp:coreProperties>
</file>