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7C6AC" w14:textId="77777777" w:rsidR="00650A3A" w:rsidRPr="00270892" w:rsidRDefault="00650A3A" w:rsidP="00270892">
      <w:pPr>
        <w:jc w:val="both"/>
        <w:rPr>
          <w:rFonts w:ascii="Arial Nova Cond" w:hAnsi="Arial Nova Cond"/>
          <w:sz w:val="24"/>
          <w:szCs w:val="24"/>
        </w:rPr>
      </w:pPr>
      <w:r w:rsidRPr="00270892">
        <w:rPr>
          <w:rFonts w:ascii="Arial Nova Cond" w:hAnsi="Arial Nova Cond"/>
          <w:sz w:val="24"/>
          <w:szCs w:val="24"/>
        </w:rPr>
        <w:t>La junta de seguimiento de la Fundación IFRS enfatiza la supervisión de la emisión de normas</w:t>
      </w:r>
    </w:p>
    <w:p w14:paraId="39893D0E" w14:textId="30359DDB" w:rsidR="00650A3A" w:rsidRPr="00650A3A" w:rsidRDefault="00650A3A" w:rsidP="00650A3A">
      <w:r w:rsidRPr="00650A3A">
        <w:rPr>
          <w:noProof/>
        </w:rPr>
        <w:drawing>
          <wp:inline distT="0" distB="0" distL="0" distR="0" wp14:anchorId="71B04083" wp14:editId="30971CB8">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9C5AB9F" w14:textId="57C7F6C5" w:rsidR="00833B93" w:rsidRPr="00650A3A" w:rsidRDefault="00833B93" w:rsidP="00833B93">
      <w:r w:rsidRPr="00650A3A">
        <w:t>Publicado el 17 de marzo de 2024 por</w:t>
      </w:r>
      <w:r>
        <w:t xml:space="preserve"> </w:t>
      </w:r>
      <w:hyperlink r:id="rId5" w:history="1">
        <w:r w:rsidRPr="00650A3A">
          <w:rPr>
            <w:rStyle w:val="Hipervnculo"/>
            <w:b/>
            <w:bCs/>
          </w:rPr>
          <w:t>Editor</w:t>
        </w:r>
      </w:hyperlink>
    </w:p>
    <w:p w14:paraId="60F8170E" w14:textId="77777777" w:rsidR="00650A3A" w:rsidRPr="00650A3A" w:rsidRDefault="00650A3A" w:rsidP="00833B93">
      <w:pPr>
        <w:jc w:val="both"/>
      </w:pPr>
      <w:r w:rsidRPr="00650A3A">
        <w:t>En una reunión reciente celebrada en Madrid, España, el Consejo de Supervisión de la Fundación IFRS reafirmó el papel crucial de la supervisión continua en la gestión de las actividades de emisión de normas de la Fundación IFRS.</w:t>
      </w:r>
    </w:p>
    <w:p w14:paraId="28994D2D" w14:textId="77777777" w:rsidR="00650A3A" w:rsidRPr="00650A3A" w:rsidRDefault="00650A3A" w:rsidP="00833B93">
      <w:pPr>
        <w:jc w:val="both"/>
      </w:pPr>
      <w:r w:rsidRPr="00650A3A">
        <w:t>Presidida por Takashi Nagaoka, Comisionado Adjunto para Asuntos Internacionales de la Agencia de Servicios Financieros de Japón, la reunión se centró en las responsabilidades de los Fideicomisarios de la Fundación IFRS, particularmente en la supervisión del Consejo de Normas Internacionales de Contabilidad (IASB) y el Consejo de Normas Internacionales de Sostenibilidad (ISSB).</w:t>
      </w:r>
    </w:p>
    <w:p w14:paraId="1C329011" w14:textId="77777777" w:rsidR="00650A3A" w:rsidRPr="00650A3A" w:rsidRDefault="00650A3A" w:rsidP="00833B93">
      <w:pPr>
        <w:jc w:val="both"/>
      </w:pPr>
      <w:r w:rsidRPr="00650A3A">
        <w:t>Las discusiones clave incluyeron la importancia de la conectividad entre los estados financieros y las divulgaciones de sustentabilidad, la efectividad del modelo de múltiples ubicaciones empleado por los dos Consejos de Establecimiento de Normas (SSB, por sus siglas en inglés) y la necesidad de financiamiento estable y diversificado para respaldar su trabajo.</w:t>
      </w:r>
    </w:p>
    <w:p w14:paraId="5ACD920C" w14:textId="77777777" w:rsidR="00650A3A" w:rsidRPr="00650A3A" w:rsidRDefault="00650A3A" w:rsidP="00833B93">
      <w:pPr>
        <w:jc w:val="both"/>
      </w:pPr>
      <w:r w:rsidRPr="00650A3A">
        <w:t>Reconociendo los importantes esfuerzos de la Fundación IFRS para apoyar la implementación de las Normas ISSB, la Junta de Monitoreo instó a la colaboración continua con los reguladores para avanzar en el marco global para la información financiera relacionada con la sostenibilidad.</w:t>
      </w:r>
    </w:p>
    <w:p w14:paraId="1DAEDE80" w14:textId="2A027224" w:rsidR="00650A3A" w:rsidRPr="00650A3A" w:rsidRDefault="00650A3A" w:rsidP="00650A3A">
      <w:r w:rsidRPr="00650A3A">
        <w:t>Leer más</w:t>
      </w:r>
      <w:r w:rsidR="00833B93">
        <w:t xml:space="preserve"> </w:t>
      </w:r>
      <w:hyperlink r:id="rId6" w:tgtFrame="_blank" w:history="1">
        <w:r w:rsidRPr="00650A3A">
          <w:rPr>
            <w:rStyle w:val="Hipervnculo"/>
          </w:rPr>
          <w:t>aquí</w:t>
        </w:r>
      </w:hyperlink>
      <w:r w:rsidRPr="00650A3A">
        <w:t>.</w:t>
      </w:r>
      <w:r w:rsidR="00833B93">
        <w:t xml:space="preserve"> </w:t>
      </w:r>
      <w:hyperlink r:id="rId7" w:history="1">
        <w:r w:rsidRPr="00650A3A">
          <w:rPr>
            <w:rStyle w:val="Hipervnculo"/>
          </w:rPr>
          <w:t>CONECTIVIDAD</w:t>
        </w:r>
        <w:r w:rsidR="00833B93">
          <w:rPr>
            <w:rStyle w:val="Hipervnculo"/>
          </w:rPr>
          <w:t xml:space="preserve"> </w:t>
        </w:r>
      </w:hyperlink>
      <w:hyperlink r:id="rId8" w:history="1">
        <w:r w:rsidRPr="00650A3A">
          <w:rPr>
            <w:rStyle w:val="Hipervnculo"/>
          </w:rPr>
          <w:t>IASB</w:t>
        </w:r>
        <w:r w:rsidR="00833B93">
          <w:rPr>
            <w:rStyle w:val="Hipervnculo"/>
          </w:rPr>
          <w:t xml:space="preserve"> </w:t>
        </w:r>
      </w:hyperlink>
      <w:hyperlink r:id="rId9" w:history="1">
        <w:r w:rsidRPr="00650A3A">
          <w:rPr>
            <w:rStyle w:val="Hipervnculo"/>
          </w:rPr>
          <w:t>NIIF</w:t>
        </w:r>
      </w:hyperlink>
    </w:p>
    <w:p w14:paraId="1B255CD8" w14:textId="113659EF" w:rsidR="00833B93" w:rsidRDefault="00833B93">
      <w:r w:rsidRPr="00833B93">
        <w:rPr>
          <w:noProof/>
        </w:rPr>
        <w:lastRenderedPageBreak/>
        <w:drawing>
          <wp:inline distT="0" distB="0" distL="0" distR="0" wp14:anchorId="5CA7F578" wp14:editId="56F49951">
            <wp:extent cx="5612130" cy="10471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047115"/>
                    </a:xfrm>
                    <a:prstGeom prst="rect">
                      <a:avLst/>
                    </a:prstGeom>
                  </pic:spPr>
                </pic:pic>
              </a:graphicData>
            </a:graphic>
          </wp:inline>
        </w:drawing>
      </w:r>
    </w:p>
    <w:p w14:paraId="7334C990" w14:textId="77777777" w:rsidR="004E4CF1" w:rsidRPr="004E4CF1" w:rsidRDefault="004E4CF1" w:rsidP="00BC6016">
      <w:pPr>
        <w:jc w:val="center"/>
        <w:rPr>
          <w:b/>
          <w:bCs/>
        </w:rPr>
      </w:pPr>
      <w:r w:rsidRPr="00833B93">
        <w:rPr>
          <w:b/>
          <w:bCs/>
        </w:rPr>
        <w:t>La Junta de Supervisión de la Fundación IFRS reafirmó la importancia de la supervisión continua de las actividades normativas y la gobernanza de la Fundación IFRS</w:t>
      </w:r>
    </w:p>
    <w:p w14:paraId="234D14C7" w14:textId="39067C05" w:rsidR="004E4CF1" w:rsidRPr="004E4CF1" w:rsidRDefault="004E4CF1" w:rsidP="00247917">
      <w:pPr>
        <w:jc w:val="both"/>
      </w:pPr>
      <w:r w:rsidRPr="00833B93">
        <w:t xml:space="preserve">Durante la reunión de la semana pasada del Consejo de Seguimiento de la Fundación IFRS en Madrid, España, el Consejo de Seguimiento discutió las actividades de los Fideicomisarios de la Fundación IFRS, incluidas sus responsabilidades de supervisión del Consejo de Normas Internacionales de Contabilidad (IASB) y el Consejo de Normas Internacionales de Sostenibilidad (ISSB). A la reunión se unieron los miembros del Consejo de Administración de la Fundación IFRS bajo el liderazgo de Erkki Liikanen, </w:t>
      </w:r>
      <w:r w:rsidR="00270892" w:rsidRPr="00833B93">
        <w:t>presidente</w:t>
      </w:r>
      <w:r w:rsidRPr="00833B93">
        <w:t xml:space="preserve"> del Consejo de Administración, y también Andreas Barckow, </w:t>
      </w:r>
      <w:r w:rsidR="00270892" w:rsidRPr="00833B93">
        <w:t>presidente</w:t>
      </w:r>
      <w:r w:rsidRPr="00833B93">
        <w:t xml:space="preserve"> del IASB, y Emmanuel Faber, </w:t>
      </w:r>
      <w:r w:rsidR="00270892" w:rsidRPr="00833B93">
        <w:t>presidente</w:t>
      </w:r>
      <w:r w:rsidRPr="00833B93">
        <w:t xml:space="preserve"> del ISSB.</w:t>
      </w:r>
    </w:p>
    <w:p w14:paraId="5F22DC33" w14:textId="77777777" w:rsidR="004E4CF1" w:rsidRPr="004E4CF1" w:rsidRDefault="004E4CF1" w:rsidP="00247917">
      <w:pPr>
        <w:jc w:val="both"/>
      </w:pPr>
      <w:r w:rsidRPr="00833B93">
        <w:t>Se informó a la Junta de Supervisión de las actividades en curso de la Fundación NIIF en el marco del nuevo modelo de «Dos Juntas Normalizadoras bajo una sola Fundación». En respuesta, la Junta de Supervisión siguió transmitiendo sus expectativas sobre:</w:t>
      </w:r>
    </w:p>
    <w:p w14:paraId="1C0959C4" w14:textId="77777777" w:rsidR="004E4CF1" w:rsidRPr="004E4CF1" w:rsidRDefault="004E4CF1" w:rsidP="006511C0">
      <w:pPr>
        <w:jc w:val="both"/>
      </w:pPr>
      <w:r w:rsidRPr="00833B93">
        <w:t xml:space="preserve">▪ conectividad entre los estados financieros y la información a revelar relacionada con la sostenibilidad, garantizando al mismo tiempo la independencia mutua y la asignación equilibrada de recursos para su proceso de establecimiento de normas. En este contexto, la Junta de Seguimiento acogió con satisfacción los progresos realizados por la Fundación NIIF, incluida la primera reunión conjunta del CNIC y el OSSI en enero de 2024; </w:t>
      </w:r>
    </w:p>
    <w:p w14:paraId="2DC56A9A" w14:textId="77777777" w:rsidR="004E4CF1" w:rsidRPr="004E4CF1" w:rsidRDefault="004E4CF1" w:rsidP="006511C0">
      <w:pPr>
        <w:jc w:val="both"/>
      </w:pPr>
      <w:r w:rsidRPr="00833B93">
        <w:t xml:space="preserve">▪ una mayor exploración del funcionamiento eficaz del modelo de múltiples ubicaciones1 para maximizar el potencial de las dos SSB bajo el liderazgo de los fideicomisarios de la Fundación IFRS. </w:t>
      </w:r>
    </w:p>
    <w:p w14:paraId="09976AD8" w14:textId="77777777" w:rsidR="004E4CF1" w:rsidRPr="004E4CF1" w:rsidRDefault="004E4CF1" w:rsidP="006511C0">
      <w:pPr>
        <w:jc w:val="both"/>
      </w:pPr>
      <w:r w:rsidRPr="00833B93">
        <w:t>▪ una financiación estable y diversificada para apoyar la labor de las dos SSB.</w:t>
      </w:r>
    </w:p>
    <w:p w14:paraId="10EA8C3B" w14:textId="77777777" w:rsidR="004E4CF1" w:rsidRPr="004E4CF1" w:rsidRDefault="004E4CF1" w:rsidP="006511C0">
      <w:pPr>
        <w:jc w:val="both"/>
      </w:pPr>
      <w:r w:rsidRPr="00833B93">
        <w:t xml:space="preserve">En cuanto a las actividades de cada una de las OSB, la Junta de Supervisión reiteró la misma importancia de la labor de la IASB y de la ISSB. </w:t>
      </w:r>
    </w:p>
    <w:p w14:paraId="1E3F7399" w14:textId="77777777" w:rsidR="004E4CF1" w:rsidRPr="004E4CF1" w:rsidRDefault="004E4CF1" w:rsidP="00120A75">
      <w:pPr>
        <w:jc w:val="both"/>
      </w:pPr>
      <w:r w:rsidRPr="00833B93">
        <w:t>La Junta de Supervisión reconoció los importantes esfuerzos realizados por la Fundación IFRS para apoyar la aplicación de las Normas ISSB, incluida la publicación de la Vista previa de la Guía de Adopción Inaugural en febrero de 2024. Los miembros de la Junta de Supervisión pidieron unánimemente a la Fundación IFRS que continúe las discusiones constructivas y estrechas con los reguladores para continuar avanzando hacia el objetivo compartido del marco global para la información financiera relacionada con la sostenibilidad mediante la adopción y aplicación de las normas ISSB o que se informen sobre ellas.</w:t>
      </w:r>
    </w:p>
    <w:p w14:paraId="03426C7C" w14:textId="77777777" w:rsidR="004E4CF1" w:rsidRPr="004E4CF1" w:rsidRDefault="004E4CF1" w:rsidP="00120A75">
      <w:pPr>
        <w:jc w:val="both"/>
      </w:pPr>
      <w:r w:rsidRPr="00833B93">
        <w:t xml:space="preserve">La Junta de Supervisión también valoró positivamente que se estuvieran examinando las orientaciones estratégicas tanto del IASB como del ISSB: el IASB está revisando su estrategia para el próximo decenio, mientras que el ISSB está debatiendo las próximas prioridades a raíz de una solicitud de información que se envió a las partes interesadas. La Junta de Supervisión seguirá colaborando con los fideicomisarios en estas cuestiones. </w:t>
      </w:r>
    </w:p>
    <w:p w14:paraId="4D3A9B5B" w14:textId="77777777" w:rsidR="004E4CF1" w:rsidRPr="004E4CF1" w:rsidRDefault="004E4CF1" w:rsidP="00484436">
      <w:pPr>
        <w:jc w:val="both"/>
      </w:pPr>
      <w:r w:rsidRPr="00833B93">
        <w:lastRenderedPageBreak/>
        <w:t>La Junta de Supervisión volvió a confirmar que la función básica de la Fundación NIIF es garantizar un proceso sólido y con las debidas garantías procesales y alentó a que se siguieran realizando esfuerzos en este ámbito.</w:t>
      </w:r>
    </w:p>
    <w:p w14:paraId="5C66C3A7" w14:textId="77777777" w:rsidR="004E4CF1" w:rsidRPr="004E4CF1" w:rsidRDefault="004E4CF1" w:rsidP="00484436">
      <w:pPr>
        <w:jc w:val="both"/>
      </w:pPr>
      <w:r w:rsidRPr="00833B93">
        <w:t>Por último, la Junta de Supervisión completó su examen periódico de los miembros existentes con arreglo a los criterios de composición acordados en su Carta2. La Junta de Supervisión llegó a la conclusión de que no se había determinado que ningún miembro no cumpliera los criterios. La Junta de Supervisión llevará a cabo un nuevo examen dentro de cinco años.</w:t>
      </w:r>
    </w:p>
    <w:p w14:paraId="6D6CD673" w14:textId="052E40B4" w:rsidR="004E4CF1" w:rsidRPr="004E4CF1" w:rsidRDefault="004E4CF1" w:rsidP="00484436">
      <w:pPr>
        <w:jc w:val="both"/>
      </w:pPr>
      <w:r w:rsidRPr="00833B93">
        <w:t xml:space="preserve">Takashi Nagaoka, </w:t>
      </w:r>
      <w:r w:rsidR="00270892" w:rsidRPr="00833B93">
        <w:t>presidente</w:t>
      </w:r>
      <w:r w:rsidRPr="00833B93">
        <w:t xml:space="preserve"> de la Junta de Supervisión de las NIIF y Comisionado Adjunto para Asuntos Internacionales de la Agencia de Servicios Financieros de Japón, dijo:</w:t>
      </w:r>
    </w:p>
    <w:p w14:paraId="036BF27E" w14:textId="1CC04610" w:rsidR="004E4CF1" w:rsidRPr="004E4CF1" w:rsidRDefault="004E4CF1" w:rsidP="00484436">
      <w:pPr>
        <w:jc w:val="both"/>
      </w:pPr>
      <w:r w:rsidRPr="00833B93">
        <w:t xml:space="preserve">"Como </w:t>
      </w:r>
      <w:r w:rsidR="00270892" w:rsidRPr="00833B93">
        <w:t>presidente</w:t>
      </w:r>
      <w:r w:rsidRPr="00833B93">
        <w:t xml:space="preserve"> de la Junta de Supervisión, me enorgullece ser el anfitrión de una reunión conjunta junto con el </w:t>
      </w:r>
      <w:r w:rsidR="00270892" w:rsidRPr="00833B93">
        <w:t>presidente</w:t>
      </w:r>
      <w:r w:rsidRPr="00833B93">
        <w:t xml:space="preserve"> de los Fideicomisarios de la Fundación IFRS, lo que brinda una oportunidad para que los miembros de la Junta de Supervisión tengan un diálogo con la Fundación en este momento crítico para la consideración de las formas de avanzar en la implementación de las Normas de la ISSB, así como las direcciones estratégicas de la IASB y la ISSB. </w:t>
      </w:r>
    </w:p>
    <w:p w14:paraId="5F4270DD" w14:textId="5AF46F9F" w:rsidR="004E4CF1" w:rsidRPr="004E4CF1" w:rsidRDefault="004E4CF1" w:rsidP="00484436">
      <w:pPr>
        <w:jc w:val="both"/>
      </w:pPr>
      <w:r w:rsidRPr="00833B93">
        <w:t xml:space="preserve">En nombre de mis colegas miembros de la Junta de Supervisión, quisiera expresar mi gratitud a Lee White, </w:t>
      </w:r>
      <w:r w:rsidR="00270892" w:rsidRPr="00833B93">
        <w:t>director</w:t>
      </w:r>
      <w:r w:rsidRPr="00833B93">
        <w:t xml:space="preserve"> Gerente saliente de la Fundación IFRS, que ha servido durante seis años como un centro fundamental que conecta las actividades de la Fundación con las diversas partes interesadas, incluida la Junta de Supervisión. También agradezco a Erkki Liikanen, presidente del Consejo de Administración, por su gran liderazgo en la dirección de la Fundación y lo felicito por su reelección para un tercer mandato".</w:t>
      </w:r>
    </w:p>
    <w:p w14:paraId="5FE7FAC2" w14:textId="77777777" w:rsidR="004E4CF1" w:rsidRPr="004E4CF1" w:rsidRDefault="004E4CF1" w:rsidP="00F034EC">
      <w:pPr>
        <w:jc w:val="both"/>
        <w:rPr>
          <w:b/>
          <w:bCs/>
        </w:rPr>
      </w:pPr>
      <w:r w:rsidRPr="00833B93">
        <w:rPr>
          <w:b/>
          <w:bCs/>
        </w:rPr>
        <w:t>Acerca de la Junta de Supervisión de la Fundación NIIF</w:t>
      </w:r>
    </w:p>
    <w:p w14:paraId="7F0E72DA" w14:textId="77777777" w:rsidR="004E4CF1" w:rsidRPr="004E4CF1" w:rsidRDefault="004E4CF1" w:rsidP="008B4C68">
      <w:pPr>
        <w:jc w:val="both"/>
      </w:pPr>
      <w:r w:rsidRPr="00833B93">
        <w:t>El Consejo de Seguimiento se creó en 2009 con el objetivo de supervisar la Fundación NIIF, cuyos Patronos ejercen a su vez la supervisión del IASB (Consejo de Normas Internacionales de Contabilidad) y del ISSB (Consejo de Normas Internacionales de Sostenibilidad).</w:t>
      </w:r>
    </w:p>
    <w:p w14:paraId="68590210" w14:textId="77777777" w:rsidR="004E4CF1" w:rsidRPr="004E4CF1" w:rsidRDefault="004E4CF1" w:rsidP="008B4C68">
      <w:pPr>
        <w:jc w:val="both"/>
      </w:pPr>
      <w:r w:rsidRPr="00833B93">
        <w:t>Los miembros de la Junta de Supervisión son el Consejo de la Organización Internacional de Comisiones de Valores (OICV), el Comité de Crecimiento y Mercados Emergentes de la OICV, la Agencia de Servicios Financieros de Japón (JFSA), la Comisión Europea, la Comisión de Bolsa y Valores de los Estados Unidos (SEC), la Comisión de Valores Mobiliarios (CVM) de Brasil, la Comisión de Servicios Financieros (FSC) de Corea,  el Ministerio de Finanzas de la República Popular China y la Autoridad de Conducta Financiera (FCA) del Reino Unido.</w:t>
      </w:r>
    </w:p>
    <w:p w14:paraId="39B11D2B" w14:textId="77777777" w:rsidR="004E4CF1" w:rsidRPr="004E4CF1" w:rsidRDefault="004E4CF1" w:rsidP="008B4C68">
      <w:pPr>
        <w:jc w:val="both"/>
      </w:pPr>
      <w:r w:rsidRPr="00833B93">
        <w:t xml:space="preserve">El Comité de Supervisión Bancaria de Basilea (CSBB) tiene la condición de observador. </w:t>
      </w:r>
    </w:p>
    <w:p w14:paraId="5AB8D00A" w14:textId="77777777" w:rsidR="004E4CF1" w:rsidRPr="004E4CF1" w:rsidRDefault="004E4CF1" w:rsidP="008B4C68">
      <w:pPr>
        <w:jc w:val="both"/>
      </w:pPr>
      <w:r w:rsidRPr="00833B93">
        <w:t>A través de la Junta de Supervisión, las autoridades de los mercados de capitales responsables de establecer la forma y el contenido de la información financiera en sus respectivas jurisdicciones pueden llevar a cabo con mayor eficacia sus mandatos en materia de protección de los inversores, integridad del mercado y formación de capital.</w:t>
      </w:r>
    </w:p>
    <w:p w14:paraId="17EEF9F4" w14:textId="77777777" w:rsidR="004E4CF1" w:rsidRPr="004E4CF1" w:rsidRDefault="004E4CF1" w:rsidP="00C24071">
      <w:pPr>
        <w:spacing w:after="0"/>
        <w:jc w:val="both"/>
        <w:rPr>
          <w:b/>
          <w:bCs/>
        </w:rPr>
      </w:pPr>
      <w:r w:rsidRPr="004E4CF1">
        <w:rPr>
          <w:b/>
          <w:bCs/>
        </w:rPr>
        <w:t>Consultas de prensa</w:t>
      </w:r>
    </w:p>
    <w:p w14:paraId="1973E548" w14:textId="77777777" w:rsidR="004E4CF1" w:rsidRPr="004E4CF1" w:rsidRDefault="004E4CF1" w:rsidP="00106D9D">
      <w:pPr>
        <w:spacing w:after="0"/>
        <w:jc w:val="both"/>
      </w:pPr>
      <w:r w:rsidRPr="00833B93">
        <w:t xml:space="preserve">SR. Makoto Sonoda </w:t>
      </w:r>
    </w:p>
    <w:p w14:paraId="0E2FCAE2" w14:textId="77777777" w:rsidR="004E4CF1" w:rsidRPr="004E4CF1" w:rsidRDefault="004E4CF1" w:rsidP="00106D9D">
      <w:pPr>
        <w:spacing w:after="0"/>
        <w:jc w:val="both"/>
      </w:pPr>
      <w:r w:rsidRPr="00833B93">
        <w:t>Director de la Delegación Japonesa para el Foro Internacional de Reguladores de Auditoría Independientes</w:t>
      </w:r>
    </w:p>
    <w:p w14:paraId="5A86FDC4" w14:textId="77777777" w:rsidR="004E4CF1" w:rsidRPr="004E4CF1" w:rsidRDefault="004E4CF1" w:rsidP="00106D9D">
      <w:pPr>
        <w:spacing w:after="0"/>
        <w:jc w:val="both"/>
      </w:pPr>
      <w:r w:rsidRPr="00833B93">
        <w:lastRenderedPageBreak/>
        <w:t xml:space="preserve">Agencia de Servicios Financieros de Japón </w:t>
      </w:r>
    </w:p>
    <w:p w14:paraId="51A197CF" w14:textId="2E5E7797" w:rsidR="00833B93" w:rsidRDefault="00833B93" w:rsidP="00833B93">
      <w:pPr>
        <w:jc w:val="both"/>
        <w:rPr>
          <w:lang w:val="en-US"/>
        </w:rPr>
      </w:pPr>
      <w:r w:rsidRPr="00833B93">
        <w:rPr>
          <w:lang w:val="en-US"/>
        </w:rPr>
        <w:t xml:space="preserve">Email: </w:t>
      </w:r>
      <w:hyperlink r:id="rId11" w:history="1">
        <w:r w:rsidRPr="00593854">
          <w:rPr>
            <w:rStyle w:val="Hipervnculo"/>
            <w:lang w:val="en-US"/>
          </w:rPr>
          <w:t>makoto.sonoda@fsa.go.jp</w:t>
        </w:r>
      </w:hyperlink>
    </w:p>
    <w:p w14:paraId="24A7282A" w14:textId="77777777" w:rsidR="004E4CF1" w:rsidRPr="004E4CF1" w:rsidRDefault="004E4CF1" w:rsidP="00F74DB2">
      <w:pPr>
        <w:spacing w:after="0"/>
        <w:jc w:val="both"/>
      </w:pPr>
      <w:r w:rsidRPr="00833B93">
        <w:t>Sra. Moe Kadowaki</w:t>
      </w:r>
    </w:p>
    <w:p w14:paraId="3BBC8E4D" w14:textId="77777777" w:rsidR="004E4CF1" w:rsidRPr="004E4CF1" w:rsidRDefault="004E4CF1" w:rsidP="00F74DB2">
      <w:pPr>
        <w:spacing w:after="0"/>
        <w:jc w:val="both"/>
      </w:pPr>
      <w:r w:rsidRPr="00833B93">
        <w:t>Jefe de Sección, División de Contabilidad Corporativa y Divulgación de Información</w:t>
      </w:r>
    </w:p>
    <w:p w14:paraId="4BABFEE8" w14:textId="77777777" w:rsidR="004E4CF1" w:rsidRPr="004E4CF1" w:rsidRDefault="004E4CF1" w:rsidP="00F74DB2">
      <w:pPr>
        <w:spacing w:after="0"/>
        <w:jc w:val="both"/>
      </w:pPr>
      <w:r w:rsidRPr="00833B93">
        <w:t>Agencia de Servicios Financieros de Japón</w:t>
      </w:r>
    </w:p>
    <w:p w14:paraId="6818D30A" w14:textId="7908F6AA" w:rsidR="00833B93" w:rsidRDefault="00833B93" w:rsidP="00833B93">
      <w:pPr>
        <w:jc w:val="both"/>
        <w:rPr>
          <w:rStyle w:val="Hipervnculo"/>
          <w:lang w:val="en-US"/>
        </w:rPr>
      </w:pPr>
      <w:r w:rsidRPr="00833B93">
        <w:rPr>
          <w:lang w:val="en-US"/>
        </w:rPr>
        <w:t xml:space="preserve">Email: </w:t>
      </w:r>
      <w:hyperlink r:id="rId12" w:history="1">
        <w:r w:rsidRPr="00593854">
          <w:rPr>
            <w:rStyle w:val="Hipervnculo"/>
            <w:lang w:val="en-US"/>
          </w:rPr>
          <w:t>moe.kadowaki@fsa.go.jp</w:t>
        </w:r>
      </w:hyperlink>
    </w:p>
    <w:p w14:paraId="67EBC5C0" w14:textId="5B0E4977" w:rsidR="004E4CF1" w:rsidRDefault="004E4CF1" w:rsidP="00833B93">
      <w:pPr>
        <w:jc w:val="both"/>
        <w:rPr>
          <w:rStyle w:val="Hipervnculo"/>
          <w:lang w:val="en-US"/>
        </w:rPr>
      </w:pPr>
    </w:p>
    <w:p w14:paraId="4E253797" w14:textId="77777777" w:rsidR="004E4CF1" w:rsidRDefault="004E4CF1" w:rsidP="00833B93">
      <w:pPr>
        <w:jc w:val="both"/>
        <w:rPr>
          <w:lang w:val="en-US"/>
        </w:rPr>
      </w:pPr>
    </w:p>
    <w:p w14:paraId="3255BFF9" w14:textId="77777777" w:rsidR="004E4CF1" w:rsidRPr="004E4CF1" w:rsidRDefault="004E4CF1" w:rsidP="005E742D">
      <w:pPr>
        <w:jc w:val="both"/>
      </w:pPr>
      <w:r w:rsidRPr="00833B93">
        <w:t>1. El ISSB opera un modelo de múltiples ubicaciones para garantizar la proximidad y la relevancia del mercado en todo el mundo. La Fundación IFRS tiene una presencia en múltiples ubicaciones con oficinas en Frankfurt, Londres, Montreal, Tokio, Pekín y San Francisco.</w:t>
      </w:r>
    </w:p>
    <w:p w14:paraId="1EB2844F" w14:textId="77777777" w:rsidR="004E4CF1" w:rsidRPr="004E4CF1" w:rsidRDefault="004E4CF1" w:rsidP="005E742D">
      <w:pPr>
        <w:jc w:val="both"/>
        <w:rPr>
          <w:sz w:val="20"/>
          <w:szCs w:val="20"/>
        </w:rPr>
      </w:pPr>
      <w:r w:rsidRPr="00833B93">
        <w:t xml:space="preserve">2. La Carta del Consejo de Supervisión puede consultarse en: </w:t>
      </w:r>
      <w:hyperlink r:id="rId13" w:history="1">
        <w:r w:rsidRPr="00833B93">
          <w:rPr>
            <w:rStyle w:val="Hipervnculo"/>
            <w:sz w:val="20"/>
            <w:szCs w:val="20"/>
          </w:rPr>
          <w:t>https://www.iosco.org/about/monitoring_board/pdf/Charter-of-theIFRSF-Monitoring-Board-2023.pdf</w:t>
        </w:r>
      </w:hyperlink>
    </w:p>
    <w:p w14:paraId="418A7DCD" w14:textId="77777777" w:rsidR="004E4CF1" w:rsidRPr="004E4CF1" w:rsidRDefault="004E4CF1" w:rsidP="005E742D">
      <w:pPr>
        <w:jc w:val="both"/>
      </w:pPr>
    </w:p>
    <w:p w14:paraId="6EE60020" w14:textId="77777777" w:rsidR="00833B93" w:rsidRPr="004E4CF1" w:rsidRDefault="00833B93" w:rsidP="00833B93">
      <w:pPr>
        <w:jc w:val="both"/>
      </w:pPr>
    </w:p>
    <w:sectPr w:rsidR="00833B93" w:rsidRPr="004E4C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3A"/>
    <w:rsid w:val="00270892"/>
    <w:rsid w:val="004E4CF1"/>
    <w:rsid w:val="00650A3A"/>
    <w:rsid w:val="00833B93"/>
    <w:rsid w:val="008E6EEF"/>
    <w:rsid w:val="00DD6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5E08F"/>
  <w15:chartTrackingRefBased/>
  <w15:docId w15:val="{4F3E0851-903D-41AD-8402-5B197BFF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0A3A"/>
    <w:rPr>
      <w:color w:val="0563C1" w:themeColor="hyperlink"/>
      <w:u w:val="single"/>
    </w:rPr>
  </w:style>
  <w:style w:type="character" w:styleId="Mencinsinresolver">
    <w:name w:val="Unresolved Mention"/>
    <w:basedOn w:val="Fuentedeprrafopredeter"/>
    <w:uiPriority w:val="99"/>
    <w:semiHidden/>
    <w:unhideWhenUsed/>
    <w:rsid w:val="00650A3A"/>
    <w:rPr>
      <w:color w:val="605E5C"/>
      <w:shd w:val="clear" w:color="auto" w:fill="E1DFDD"/>
    </w:rPr>
  </w:style>
  <w:style w:type="character" w:styleId="Hipervnculovisitado">
    <w:name w:val="FollowedHyperlink"/>
    <w:basedOn w:val="Fuentedeprrafopredeter"/>
    <w:uiPriority w:val="99"/>
    <w:semiHidden/>
    <w:unhideWhenUsed/>
    <w:rsid w:val="00833B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66835">
      <w:bodyDiv w:val="1"/>
      <w:marLeft w:val="0"/>
      <w:marRight w:val="0"/>
      <w:marTop w:val="0"/>
      <w:marBottom w:val="0"/>
      <w:divBdr>
        <w:top w:val="none" w:sz="0" w:space="0" w:color="auto"/>
        <w:left w:val="none" w:sz="0" w:space="0" w:color="auto"/>
        <w:bottom w:val="none" w:sz="0" w:space="0" w:color="auto"/>
        <w:right w:val="none" w:sz="0" w:space="0" w:color="auto"/>
      </w:divBdr>
      <w:divsChild>
        <w:div w:id="523515957">
          <w:marLeft w:val="0"/>
          <w:marRight w:val="0"/>
          <w:marTop w:val="0"/>
          <w:marBottom w:val="0"/>
          <w:divBdr>
            <w:top w:val="none" w:sz="0" w:space="0" w:color="auto"/>
            <w:left w:val="none" w:sz="0" w:space="0" w:color="auto"/>
            <w:bottom w:val="none" w:sz="0" w:space="0" w:color="auto"/>
            <w:right w:val="none" w:sz="0" w:space="0" w:color="auto"/>
          </w:divBdr>
        </w:div>
        <w:div w:id="1907955882">
          <w:marLeft w:val="0"/>
          <w:marRight w:val="0"/>
          <w:marTop w:val="300"/>
          <w:marBottom w:val="300"/>
          <w:divBdr>
            <w:top w:val="none" w:sz="0" w:space="0" w:color="auto"/>
            <w:left w:val="none" w:sz="0" w:space="0" w:color="auto"/>
            <w:bottom w:val="none" w:sz="0" w:space="0" w:color="auto"/>
            <w:right w:val="none" w:sz="0" w:space="0" w:color="auto"/>
          </w:divBdr>
        </w:div>
        <w:div w:id="717819878">
          <w:marLeft w:val="0"/>
          <w:marRight w:val="0"/>
          <w:marTop w:val="600"/>
          <w:marBottom w:val="0"/>
          <w:divBdr>
            <w:top w:val="none" w:sz="0" w:space="0" w:color="auto"/>
            <w:left w:val="none" w:sz="0" w:space="0" w:color="auto"/>
            <w:bottom w:val="none" w:sz="0" w:space="0" w:color="auto"/>
            <w:right w:val="none" w:sz="0" w:space="0" w:color="auto"/>
          </w:divBdr>
          <w:divsChild>
            <w:div w:id="133761458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iasb/" TargetMode="External"/><Relationship Id="rId13" Type="http://schemas.openxmlformats.org/officeDocument/2006/relationships/hyperlink" Target="https://www.iosco.org/about/monitoring_board/pdf/Charter-of-theIFRSF-Monitoring-Board-2023.pdf" TargetMode="External"/><Relationship Id="rId3" Type="http://schemas.openxmlformats.org/officeDocument/2006/relationships/webSettings" Target="webSettings.xml"/><Relationship Id="rId7" Type="http://schemas.openxmlformats.org/officeDocument/2006/relationships/hyperlink" Target="https://www.xbrl.org/tag/connectivity/" TargetMode="External"/><Relationship Id="rId12" Type="http://schemas.openxmlformats.org/officeDocument/2006/relationships/hyperlink" Target="mailto:moe.kadowaki@fsa.g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sco.org/news/pdf/IOSCONEWS727.pdf" TargetMode="External"/><Relationship Id="rId11" Type="http://schemas.openxmlformats.org/officeDocument/2006/relationships/hyperlink" Target="mailto:makoto.sonoda@fsa.go.jp" TargetMode="External"/><Relationship Id="rId5" Type="http://schemas.openxmlformats.org/officeDocument/2006/relationships/hyperlink" Target="https://www.xbrl.org/news/ifrs-foundation-monitoring-board-emphasises-oversight-of-standard-setting/"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ifr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1347</Words>
  <Characters>7414</Characters>
  <Application>Microsoft Office Word</Application>
  <DocSecurity>0</DocSecurity>
  <Lines>61</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6</cp:revision>
  <dcterms:created xsi:type="dcterms:W3CDTF">2024-03-27T02:24:00Z</dcterms:created>
  <dcterms:modified xsi:type="dcterms:W3CDTF">2024-06-04T03:10:00Z</dcterms:modified>
</cp:coreProperties>
</file>