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D692D" w14:textId="77777777" w:rsidR="00DA4AD7" w:rsidRPr="003B6345" w:rsidRDefault="00DA4AD7" w:rsidP="00DA4AD7">
      <w:pPr>
        <w:jc w:val="both"/>
        <w:rPr>
          <w:rFonts w:ascii="Arial Nova Cond" w:hAnsi="Arial Nova Cond"/>
          <w:sz w:val="24"/>
          <w:szCs w:val="24"/>
        </w:rPr>
      </w:pPr>
      <w:r w:rsidRPr="003B6345">
        <w:rPr>
          <w:rFonts w:ascii="Arial Nova Cond" w:hAnsi="Arial Nova Cond"/>
          <w:sz w:val="24"/>
          <w:szCs w:val="24"/>
        </w:rPr>
        <w:t>Aprovechar la inteligencia artificial y el análisis de datos en la regulación financiera</w:t>
      </w:r>
    </w:p>
    <w:p w14:paraId="0E76A239" w14:textId="56942475" w:rsidR="00DA4AD7" w:rsidRPr="00DA4AD7" w:rsidRDefault="00DA4AD7" w:rsidP="00DA4AD7">
      <w:pPr>
        <w:jc w:val="both"/>
      </w:pPr>
      <w:r w:rsidRPr="00DA4AD7">
        <w:rPr>
          <w:noProof/>
        </w:rPr>
        <w:drawing>
          <wp:inline distT="0" distB="0" distL="0" distR="0" wp14:anchorId="3A478671" wp14:editId="7800ED15">
            <wp:extent cx="5612130" cy="374142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05BC2DCB" w14:textId="11ACE351" w:rsidR="00D80FC7" w:rsidRPr="00DA4AD7" w:rsidRDefault="00D80FC7" w:rsidP="00D80FC7">
      <w:pPr>
        <w:jc w:val="both"/>
      </w:pPr>
      <w:r w:rsidRPr="00DA4AD7">
        <w:t>Publicado el 25 de mayo de 2024 por</w:t>
      </w:r>
      <w:r w:rsidR="003B6345">
        <w:t xml:space="preserve"> </w:t>
      </w:r>
      <w:hyperlink r:id="rId5" w:history="1">
        <w:r w:rsidRPr="00DA4AD7">
          <w:rPr>
            <w:rStyle w:val="Hipervnculo"/>
            <w:b/>
            <w:bCs/>
          </w:rPr>
          <w:t>Editor</w:t>
        </w:r>
      </w:hyperlink>
    </w:p>
    <w:p w14:paraId="783A1555" w14:textId="1F358530" w:rsidR="00DA4AD7" w:rsidRPr="00DA4AD7" w:rsidRDefault="00DA4AD7" w:rsidP="00DA4AD7">
      <w:pPr>
        <w:jc w:val="both"/>
      </w:pPr>
      <w:r w:rsidRPr="00DA4AD7">
        <w:t>A principios de este mes, el Comisionado Jaime Lizárraga se dirigió a la Undécima Conferencia Anual sobre Regulación de los Mercados Financieros en Washington DC, enfatizando la importancia del análisis económico en el trabajo de la Comisión de Bolsa y Valores de Estados Unidos (SEC).</w:t>
      </w:r>
      <w:r w:rsidR="00D80FC7">
        <w:t xml:space="preserve"> </w:t>
      </w:r>
      <w:r w:rsidRPr="00DA4AD7">
        <w:t>Sus comentarios destacaron las diversas necesidades de los inversores y el papel de los enfoques innovadores, como el análisis de datos de IA, para mejorar la eficacia regulatoria.</w:t>
      </w:r>
    </w:p>
    <w:p w14:paraId="675159A9" w14:textId="07E63F36" w:rsidR="00DA4AD7" w:rsidRPr="00DA4AD7" w:rsidRDefault="00DA4AD7" w:rsidP="00DA4AD7">
      <w:pPr>
        <w:jc w:val="both"/>
      </w:pPr>
      <w:r w:rsidRPr="00DA4AD7">
        <w:t>La comisionada Lizárraga subrayó la importancia del análisis económico en la formulación de normas, su aplicación y la protección de los inversores. Señaló que la incorporación de IA innovadora, aprendizaje automático y análisis de datos puede mejorar la comprensión de la SEC de la dinámica del mercado y los impactos de las medidas regulatorias. Señaló que la División de Análisis Económico y de Riesgos (DERA) de la SEC ya está liderando iniciativas para integrar análisis de datos de vanguardia impulsados por IA.</w:t>
      </w:r>
    </w:p>
    <w:p w14:paraId="36E984EF" w14:textId="77777777" w:rsidR="00DA4AD7" w:rsidRPr="00DA4AD7" w:rsidRDefault="00DA4AD7" w:rsidP="00DA4AD7">
      <w:pPr>
        <w:jc w:val="both"/>
      </w:pPr>
      <w:r w:rsidRPr="00DA4AD7">
        <w:t>A medida que la IA se vuelve cada vez más prevalente en el mundo del análisis financiero, esperamos ver más reguladores como la SEC experimentando con análisis de datos impulsados ​​por IA. Con vastos bancos de datos estructurados con los que jugar, nos interesa ver las innovaciones en regulación y análisis que dichas tecnologías pueden impulsar.</w:t>
      </w:r>
    </w:p>
    <w:p w14:paraId="379D84D0" w14:textId="77777777" w:rsidR="00DA4AD7" w:rsidRPr="00DA4AD7" w:rsidRDefault="00DA4AD7" w:rsidP="00DA4AD7">
      <w:pPr>
        <w:jc w:val="both"/>
      </w:pPr>
      <w:r w:rsidRPr="00DA4AD7">
        <w:t>Nuestro propio Revathy Ramanan hablará en la conferencia XBRL Europa esta mañana y describirá solo algunas de las formas en que los reguladores pueden obtener nuevos conocimientos y una cobertura integral sobre las presentaciones de los emisores mediante el uso de LLM.</w:t>
      </w:r>
    </w:p>
    <w:p w14:paraId="30FCFE0C" w14:textId="14ABEF12" w:rsidR="00DA4AD7" w:rsidRPr="00DA4AD7" w:rsidRDefault="00DA4AD7" w:rsidP="00DA4AD7">
      <w:pPr>
        <w:jc w:val="both"/>
      </w:pPr>
      <w:r w:rsidRPr="00DA4AD7">
        <w:lastRenderedPageBreak/>
        <w:t>Para profundizar en las ideas de la comisionada Lizárraga sobre la regulación de los mercados financieros, lea el discurso completo</w:t>
      </w:r>
      <w:r w:rsidR="00D80FC7">
        <w:t xml:space="preserve"> </w:t>
      </w:r>
      <w:hyperlink r:id="rId6" w:tgtFrame="_blank" w:history="1">
        <w:r w:rsidRPr="00DA4AD7">
          <w:rPr>
            <w:rStyle w:val="Hipervnculo"/>
          </w:rPr>
          <w:t>aquí</w:t>
        </w:r>
      </w:hyperlink>
      <w:r w:rsidRPr="00DA4AD7">
        <w:t>.</w:t>
      </w:r>
    </w:p>
    <w:p w14:paraId="74AAEE12" w14:textId="093ADB48" w:rsidR="00DA4AD7" w:rsidRPr="00DA4AD7" w:rsidRDefault="003B6345" w:rsidP="00DA4AD7">
      <w:pPr>
        <w:jc w:val="both"/>
      </w:pPr>
      <w:hyperlink r:id="rId7" w:history="1">
        <w:r w:rsidR="00DA4AD7" w:rsidRPr="00DA4AD7">
          <w:rPr>
            <w:rStyle w:val="Hipervnculo"/>
          </w:rPr>
          <w:t>AI</w:t>
        </w:r>
        <w:r w:rsidR="00D80FC7">
          <w:rPr>
            <w:rStyle w:val="Hipervnculo"/>
          </w:rPr>
          <w:t xml:space="preserve"> </w:t>
        </w:r>
      </w:hyperlink>
      <w:hyperlink r:id="rId8" w:history="1">
        <w:r w:rsidR="00DA4AD7" w:rsidRPr="00DA4AD7">
          <w:rPr>
            <w:rStyle w:val="Hipervnculo"/>
          </w:rPr>
          <w:t>DERA</w:t>
        </w:r>
        <w:r w:rsidR="00D80FC7">
          <w:rPr>
            <w:rStyle w:val="Hipervnculo"/>
          </w:rPr>
          <w:t xml:space="preserve"> </w:t>
        </w:r>
      </w:hyperlink>
      <w:hyperlink r:id="rId9" w:history="1">
        <w:r w:rsidR="00DA4AD7" w:rsidRPr="00DA4AD7">
          <w:rPr>
            <w:rStyle w:val="Hipervnculo"/>
          </w:rPr>
          <w:t>ML</w:t>
        </w:r>
        <w:r w:rsidR="00D80FC7">
          <w:rPr>
            <w:rStyle w:val="Hipervnculo"/>
          </w:rPr>
          <w:t xml:space="preserve"> </w:t>
        </w:r>
      </w:hyperlink>
      <w:hyperlink r:id="rId10" w:history="1">
        <w:r w:rsidR="00DA4AD7" w:rsidRPr="00DA4AD7">
          <w:rPr>
            <w:rStyle w:val="Hipervnculo"/>
          </w:rPr>
          <w:t>SEC</w:t>
        </w:r>
      </w:hyperlink>
    </w:p>
    <w:p w14:paraId="5C7C0EF7" w14:textId="49C26504" w:rsidR="00DA4AD7" w:rsidRPr="00DA4AD7" w:rsidRDefault="00DA4AD7" w:rsidP="00DA4AD7">
      <w:pPr>
        <w:jc w:val="both"/>
      </w:pPr>
    </w:p>
    <w:p w14:paraId="45D27308" w14:textId="437B31E7" w:rsidR="00335D35" w:rsidRDefault="00335D35" w:rsidP="00DA4AD7">
      <w:pPr>
        <w:jc w:val="both"/>
      </w:pPr>
    </w:p>
    <w:p w14:paraId="68363C10" w14:textId="03AB2727" w:rsidR="00DA4AD7" w:rsidRDefault="00DA4AD7"/>
    <w:p w14:paraId="5809C7E0" w14:textId="0A45CBDF" w:rsidR="00DA4AD7" w:rsidRDefault="00DA4AD7"/>
    <w:p w14:paraId="32AAE847" w14:textId="619DC375" w:rsidR="00DA4AD7" w:rsidRDefault="00DA4AD7"/>
    <w:p w14:paraId="7C604D45" w14:textId="1581543E" w:rsidR="00DA4AD7" w:rsidRDefault="00DA4AD7"/>
    <w:p w14:paraId="1D8991E3" w14:textId="41AE7041" w:rsidR="00DA4AD7" w:rsidRDefault="00DA4AD7"/>
    <w:p w14:paraId="5C154FB1" w14:textId="389F3096" w:rsidR="00DA4AD7" w:rsidRDefault="00DA4AD7"/>
    <w:p w14:paraId="4E17CAED" w14:textId="351A1F35" w:rsidR="00DA4AD7" w:rsidRDefault="00DA4AD7"/>
    <w:p w14:paraId="462C0CAB" w14:textId="22EEE2DA" w:rsidR="00DA4AD7" w:rsidRDefault="00DA4AD7"/>
    <w:p w14:paraId="418179CC" w14:textId="1F2A4E38" w:rsidR="00DA4AD7" w:rsidRDefault="00DA4AD7"/>
    <w:p w14:paraId="3FF15991" w14:textId="3DF91C69" w:rsidR="00DA4AD7" w:rsidRDefault="00DA4AD7" w:rsidP="00DA4AD7">
      <w:pPr>
        <w:jc w:val="both"/>
      </w:pPr>
    </w:p>
    <w:p w14:paraId="18C3C5BC" w14:textId="41AA1B14" w:rsidR="00DA4AD7" w:rsidRDefault="00DA4AD7" w:rsidP="00DA4AD7">
      <w:pPr>
        <w:jc w:val="both"/>
      </w:pPr>
    </w:p>
    <w:p w14:paraId="35DD92D3" w14:textId="10568A36" w:rsidR="00D80FC7" w:rsidRDefault="00D80FC7" w:rsidP="00DA4AD7">
      <w:pPr>
        <w:jc w:val="both"/>
      </w:pPr>
    </w:p>
    <w:p w14:paraId="6301001F" w14:textId="386EA28B" w:rsidR="00D80FC7" w:rsidRDefault="00D80FC7" w:rsidP="00DA4AD7">
      <w:pPr>
        <w:jc w:val="both"/>
      </w:pPr>
    </w:p>
    <w:p w14:paraId="075E7CF3" w14:textId="4EEC3092" w:rsidR="00D80FC7" w:rsidRDefault="00D80FC7" w:rsidP="00DA4AD7">
      <w:pPr>
        <w:jc w:val="both"/>
      </w:pPr>
    </w:p>
    <w:p w14:paraId="56103704" w14:textId="471B7676" w:rsidR="00D80FC7" w:rsidRDefault="00D80FC7" w:rsidP="00DA4AD7">
      <w:pPr>
        <w:jc w:val="both"/>
      </w:pPr>
    </w:p>
    <w:p w14:paraId="039C56D3" w14:textId="1FBB9AD8" w:rsidR="00D80FC7" w:rsidRDefault="00D80FC7" w:rsidP="00DA4AD7">
      <w:pPr>
        <w:jc w:val="both"/>
      </w:pPr>
    </w:p>
    <w:p w14:paraId="7B30212A" w14:textId="00753A27" w:rsidR="00D80FC7" w:rsidRDefault="00D80FC7" w:rsidP="00DA4AD7">
      <w:pPr>
        <w:jc w:val="both"/>
      </w:pPr>
    </w:p>
    <w:p w14:paraId="2C44A13E" w14:textId="5FEA8E68" w:rsidR="00D80FC7" w:rsidRDefault="00D80FC7" w:rsidP="00DA4AD7">
      <w:pPr>
        <w:jc w:val="both"/>
      </w:pPr>
    </w:p>
    <w:p w14:paraId="44660AAE" w14:textId="19B47DBF" w:rsidR="00D80FC7" w:rsidRDefault="00D80FC7" w:rsidP="00DA4AD7">
      <w:pPr>
        <w:jc w:val="both"/>
      </w:pPr>
    </w:p>
    <w:p w14:paraId="3C48B545" w14:textId="4C5EEA56" w:rsidR="00D80FC7" w:rsidRDefault="00D80FC7" w:rsidP="00DA4AD7">
      <w:pPr>
        <w:jc w:val="both"/>
      </w:pPr>
    </w:p>
    <w:p w14:paraId="7050D003" w14:textId="6748FD12" w:rsidR="00D80FC7" w:rsidRDefault="00D80FC7" w:rsidP="00DA4AD7">
      <w:pPr>
        <w:jc w:val="both"/>
      </w:pPr>
    </w:p>
    <w:p w14:paraId="762190A6" w14:textId="77777777" w:rsidR="00D80FC7" w:rsidRDefault="00D80FC7" w:rsidP="00DA4AD7">
      <w:pPr>
        <w:jc w:val="both"/>
      </w:pPr>
    </w:p>
    <w:p w14:paraId="7E839643" w14:textId="3BD24479" w:rsidR="00DA4AD7" w:rsidRPr="00DA4AD7" w:rsidRDefault="00DA4AD7" w:rsidP="00DA4AD7">
      <w:pPr>
        <w:jc w:val="both"/>
      </w:pPr>
      <w:r w:rsidRPr="00DA4AD7">
        <w:rPr>
          <w:noProof/>
        </w:rPr>
        <w:lastRenderedPageBreak/>
        <w:drawing>
          <wp:inline distT="0" distB="0" distL="0" distR="0" wp14:anchorId="0C99B485" wp14:editId="609CE891">
            <wp:extent cx="5612130" cy="985520"/>
            <wp:effectExtent l="0" t="0" r="762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985520"/>
                    </a:xfrm>
                    <a:prstGeom prst="rect">
                      <a:avLst/>
                    </a:prstGeom>
                  </pic:spPr>
                </pic:pic>
              </a:graphicData>
            </a:graphic>
          </wp:inline>
        </w:drawing>
      </w:r>
    </w:p>
    <w:p w14:paraId="6315BC09" w14:textId="610A853B" w:rsidR="00DA4AD7" w:rsidRPr="003B6345" w:rsidRDefault="00DA4AD7" w:rsidP="00DA4AD7">
      <w:pPr>
        <w:jc w:val="both"/>
        <w:rPr>
          <w:rFonts w:ascii="Arial Nova Cond" w:hAnsi="Arial Nova Cond"/>
        </w:rPr>
      </w:pPr>
      <w:r w:rsidRPr="00DA4AD7">
        <w:rPr>
          <w:rFonts w:ascii="Arial Nova Cond" w:hAnsi="Arial Nova Cond"/>
          <w:sz w:val="24"/>
          <w:szCs w:val="24"/>
        </w:rPr>
        <w:t>La búsqueda de la excelencia; Palabras de apertura antes de la Undécima Conferencia Anual sobre Regulación de los Mercados Financieros</w:t>
      </w:r>
    </w:p>
    <w:p w14:paraId="53DB9F54" w14:textId="2945B29B" w:rsidR="00DA4AD7" w:rsidRPr="003B6345" w:rsidRDefault="00DA4AD7" w:rsidP="00DA4AD7">
      <w:pPr>
        <w:jc w:val="both"/>
      </w:pPr>
      <w:r w:rsidRPr="003B6345">
        <w:rPr>
          <w:b/>
          <w:bCs/>
          <w:noProof/>
        </w:rPr>
        <w:drawing>
          <wp:inline distT="0" distB="0" distL="0" distR="0" wp14:anchorId="41579F7C" wp14:editId="526C8C0D">
            <wp:extent cx="723900" cy="952500"/>
            <wp:effectExtent l="0" t="0" r="0" b="0"/>
            <wp:docPr id="2" name="Imagen 2" descr="Foto biográfica del comisionado Jaime Lizárraga">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to biográfica del comisionado Jaime Lizárraga">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a:ln>
                      <a:noFill/>
                    </a:ln>
                  </pic:spPr>
                </pic:pic>
              </a:graphicData>
            </a:graphic>
          </wp:inline>
        </w:drawing>
      </w:r>
    </w:p>
    <w:p w14:paraId="2B7C2F3C" w14:textId="77777777" w:rsidR="00DA4AD7" w:rsidRPr="003B6345" w:rsidRDefault="00DA4AD7" w:rsidP="00DA4AD7">
      <w:pPr>
        <w:jc w:val="both"/>
        <w:rPr>
          <w:b/>
          <w:bCs/>
        </w:rPr>
      </w:pPr>
      <w:r w:rsidRPr="003B6345">
        <w:rPr>
          <w:b/>
          <w:bCs/>
        </w:rPr>
        <w:t>Comisionado Jaime Lizárraga</w:t>
      </w:r>
    </w:p>
    <w:p w14:paraId="13074E57" w14:textId="0A5459ED" w:rsidR="00DA4AD7" w:rsidRPr="00DA4AD7" w:rsidRDefault="00DA4AD7" w:rsidP="00DA4AD7">
      <w:pPr>
        <w:jc w:val="both"/>
        <w:rPr>
          <w:b/>
          <w:bCs/>
        </w:rPr>
      </w:pPr>
      <w:r w:rsidRPr="00DA4AD7">
        <w:rPr>
          <w:b/>
          <w:bCs/>
        </w:rPr>
        <w:t>Washington DC</w:t>
      </w:r>
    </w:p>
    <w:p w14:paraId="1A55193A" w14:textId="77777777" w:rsidR="00DA4AD7" w:rsidRPr="00DA4AD7" w:rsidRDefault="00DA4AD7" w:rsidP="00DA4AD7">
      <w:pPr>
        <w:jc w:val="both"/>
        <w:rPr>
          <w:b/>
          <w:bCs/>
        </w:rPr>
      </w:pPr>
      <w:r w:rsidRPr="00DA4AD7">
        <w:rPr>
          <w:b/>
          <w:bCs/>
        </w:rPr>
        <w:t>10 de mayo de 2024</w:t>
      </w:r>
    </w:p>
    <w:p w14:paraId="4DB593B2" w14:textId="1D420F5E" w:rsidR="00DA4AD7" w:rsidRPr="00DA4AD7" w:rsidRDefault="00DA4AD7" w:rsidP="00DA4AD7">
      <w:pPr>
        <w:jc w:val="both"/>
      </w:pPr>
      <w:r w:rsidRPr="00DA4AD7">
        <w:t xml:space="preserve">Gracias, Vlad [Ivanov], por esa introducción. A Jessica Wachter: gracias por su liderazgo como </w:t>
      </w:r>
      <w:proofErr w:type="gramStart"/>
      <w:r w:rsidRPr="00DA4AD7">
        <w:t>Directora</w:t>
      </w:r>
      <w:proofErr w:type="gramEnd"/>
      <w:r w:rsidRPr="00DA4AD7">
        <w:t xml:space="preserve"> de la División de Análisis Económico y de Riesgos (“DERA”) de la Comisión y por invitarme a pronunciar estos comentarios hoy</w:t>
      </w:r>
      <w:r w:rsidR="003B6345">
        <w:t xml:space="preserve"> </w:t>
      </w:r>
      <w:bookmarkStart w:id="0" w:name="_ftnref1"/>
      <w:r w:rsidRPr="00DA4AD7">
        <w:fldChar w:fldCharType="begin"/>
      </w:r>
      <w:r w:rsidRPr="00DA4AD7">
        <w:instrText xml:space="preserve"> HYPERLINK "https://www.sec.gov/news/speech/lizarraga-remarks-conference-financial-market-regulation-051024" \l "_ftn1" </w:instrText>
      </w:r>
      <w:r w:rsidRPr="00DA4AD7">
        <w:fldChar w:fldCharType="separate"/>
      </w:r>
      <w:r w:rsidRPr="00DA4AD7">
        <w:rPr>
          <w:rStyle w:val="Hipervnculo"/>
        </w:rPr>
        <w:t>[1]</w:t>
      </w:r>
      <w:r w:rsidRPr="00DA4AD7">
        <w:fldChar w:fldCharType="end"/>
      </w:r>
      <w:bookmarkEnd w:id="0"/>
      <w:r w:rsidRPr="00DA4AD7">
        <w:t>.</w:t>
      </w:r>
    </w:p>
    <w:p w14:paraId="49EFF465" w14:textId="77777777" w:rsidR="00DA4AD7" w:rsidRPr="00DA4AD7" w:rsidRDefault="00DA4AD7" w:rsidP="00DA4AD7">
      <w:pPr>
        <w:jc w:val="both"/>
      </w:pPr>
      <w:r w:rsidRPr="00DA4AD7">
        <w:t>Al personal de DERA, al Centro de Servicios Financieros de la Universidad de Lehigh y al Centro de Política Financiera de la Universidad de Maryland: gracias por organizar este evento informativo.</w:t>
      </w:r>
    </w:p>
    <w:p w14:paraId="157FB3A4" w14:textId="77777777" w:rsidR="00DA4AD7" w:rsidRPr="00DA4AD7" w:rsidRDefault="00DA4AD7" w:rsidP="00DA4AD7">
      <w:pPr>
        <w:jc w:val="both"/>
      </w:pPr>
      <w:r w:rsidRPr="00DA4AD7">
        <w:t>Es un placer estar aquí, en una sala llena de economistas, cuyas contribuciones son tan vitales para el trabajo de la Comisión.</w:t>
      </w:r>
    </w:p>
    <w:p w14:paraId="5F1B5219" w14:textId="77777777" w:rsidR="00DA4AD7" w:rsidRPr="00DA4AD7" w:rsidRDefault="00DA4AD7" w:rsidP="00DA4AD7">
      <w:pPr>
        <w:jc w:val="both"/>
      </w:pPr>
      <w:r w:rsidRPr="00DA4AD7">
        <w:t>Mi hija de 10 años me hizo recientemente una pregunta muy básica pero importante: ¿qué es la economía? Por el momento, la mejor respuesta que pude reunir fue que es una ciencia social centrada en el estudio de los mercados.</w:t>
      </w:r>
    </w:p>
    <w:p w14:paraId="362979C6" w14:textId="77777777" w:rsidR="00DA4AD7" w:rsidRPr="00DA4AD7" w:rsidRDefault="00DA4AD7" w:rsidP="00DA4AD7">
      <w:pPr>
        <w:jc w:val="both"/>
      </w:pPr>
      <w:r w:rsidRPr="00DA4AD7">
        <w:t>Fue una respuesta simple (muchos de ustedes aquí podrían decir simplista), pero pareció satisfacer su curiosidad. La pregunta me hizo reflexionar sobre uno de los desafíos clave que enfrentamos todos los días aquí en la Comisión: ¿cómo podemos comunicar mejor el valor y la relevancia de nuestro trabajo al público, de la manera más fácil de usar posible?</w:t>
      </w:r>
    </w:p>
    <w:p w14:paraId="703181F6" w14:textId="77777777" w:rsidR="00DA4AD7" w:rsidRPr="00DA4AD7" w:rsidRDefault="00DA4AD7" w:rsidP="00DA4AD7">
      <w:pPr>
        <w:jc w:val="both"/>
      </w:pPr>
      <w:r w:rsidRPr="00DA4AD7">
        <w:t>Es un tema al que volveré más adelante en mis comentarios. Pero espero que ustedes también reflexionen sobre esto en el contexto de sus propios debates de hoy y de su trabajo futuro. En mi opinión, es parte de la búsqueda de la excelencia que es fundamental para nuestro éxito.</w:t>
      </w:r>
    </w:p>
    <w:p w14:paraId="36539CD3" w14:textId="77777777" w:rsidR="00DA4AD7" w:rsidRPr="00DA4AD7" w:rsidRDefault="00DA4AD7" w:rsidP="00DA4AD7">
      <w:pPr>
        <w:jc w:val="both"/>
      </w:pPr>
      <w:r w:rsidRPr="00DA4AD7">
        <w:t>Permítanme volver a mi definición básica de “economía”. Por supuesto, no hace justicia a la amplia gama de áreas que ustedes, como economistas, estudian o las investigaciones que discutirán hoy aquí: sobre microestructura de mercado, finanzas corporativas, intermediarios financieros o gestión de activos.</w:t>
      </w:r>
    </w:p>
    <w:p w14:paraId="40B41834" w14:textId="77777777" w:rsidR="00DA4AD7" w:rsidRPr="00DA4AD7" w:rsidRDefault="00DA4AD7" w:rsidP="00DA4AD7">
      <w:pPr>
        <w:jc w:val="both"/>
      </w:pPr>
      <w:r w:rsidRPr="00DA4AD7">
        <w:lastRenderedPageBreak/>
        <w:t>El análisis económico desempeña un papel esencial en el trabajo de la Comisión, ya sea en la elaboración de normas o en el cálculo de la devolución o las distribuciones a los inversores perjudicados en las acciones de aplicación de la ley. O en cualquier otra área donde la experiencia en economía contribuya al cumplimiento de nuestra misión.</w:t>
      </w:r>
    </w:p>
    <w:p w14:paraId="58115CA7" w14:textId="77777777" w:rsidR="00DA4AD7" w:rsidRPr="00DA4AD7" w:rsidRDefault="00DA4AD7" w:rsidP="00DA4AD7">
      <w:pPr>
        <w:jc w:val="both"/>
      </w:pPr>
      <w:r w:rsidRPr="00DA4AD7">
        <w:t>En la elaboración de normas, cumple el propósito esencial de proporcionar al público y a todos los participantes del mercado un análisis imparcial de una norma nueva o actualizada de la Comisión, incluidos sus costos y beneficios.</w:t>
      </w:r>
    </w:p>
    <w:p w14:paraId="2D1C63BC" w14:textId="77777777" w:rsidR="00DA4AD7" w:rsidRPr="00DA4AD7" w:rsidRDefault="00DA4AD7" w:rsidP="00DA4AD7">
      <w:pPr>
        <w:jc w:val="both"/>
      </w:pPr>
      <w:r w:rsidRPr="00DA4AD7">
        <w:t>Permite a la Comisión comparar una propuesta de reglamentación con otras alternativas razonables.</w:t>
      </w:r>
    </w:p>
    <w:p w14:paraId="352B00CF" w14:textId="77777777" w:rsidR="00DA4AD7" w:rsidRPr="00DA4AD7" w:rsidRDefault="00DA4AD7" w:rsidP="00DA4AD7">
      <w:pPr>
        <w:jc w:val="both"/>
      </w:pPr>
      <w:r w:rsidRPr="00DA4AD7">
        <w:t>Nos ayuda a describir la línea de base económica tal como existe hoy en el espacio específico afectado por la regla, y cómo esa línea de base podría cambiar una vez que se implemente la regla.</w:t>
      </w:r>
    </w:p>
    <w:p w14:paraId="4DCAD30D" w14:textId="77777777" w:rsidR="00DA4AD7" w:rsidRPr="00DA4AD7" w:rsidRDefault="00DA4AD7" w:rsidP="00DA4AD7">
      <w:pPr>
        <w:jc w:val="both"/>
      </w:pPr>
      <w:r w:rsidRPr="00DA4AD7">
        <w:t>Proporciona un marco para comprender cómo una norma aborda un problema o deficiencia específica, y el impacto de la norma en las partes interesadas afectadas y en nuestros mercados de capital.</w:t>
      </w:r>
    </w:p>
    <w:p w14:paraId="790F68FE" w14:textId="77777777" w:rsidR="00DA4AD7" w:rsidRPr="00DA4AD7" w:rsidRDefault="00DA4AD7" w:rsidP="00DA4AD7">
      <w:pPr>
        <w:jc w:val="both"/>
      </w:pPr>
      <w:r w:rsidRPr="00DA4AD7">
        <w:t>Durante mi estancia aquí, la Comisión ha propuesto y adoptado una serie de reformas destinadas a fortalecer la resiliencia del mercado y la protección de los inversores. Estas reglas dependen, en gran medida, de un análisis económico de alta calidad. Dicho esto, siempre hay margen de mejora en todo lo que hacemos.</w:t>
      </w:r>
    </w:p>
    <w:p w14:paraId="5F3BDF38" w14:textId="77777777" w:rsidR="00DA4AD7" w:rsidRPr="00DA4AD7" w:rsidRDefault="00DA4AD7" w:rsidP="00DA4AD7">
      <w:pPr>
        <w:jc w:val="both"/>
      </w:pPr>
      <w:r w:rsidRPr="00DA4AD7">
        <w:t>El amplio conocimiento y las ideas innovadoras que expertos como usted aportan pueden beneficiar el enfoque de la Comisión en materia de análisis económico. Así que, mientras participan en sus debates de hoy, les ofrezco algunas ideas para que las consideren.</w:t>
      </w:r>
    </w:p>
    <w:p w14:paraId="16EF466E" w14:textId="77777777" w:rsidR="00DA4AD7" w:rsidRPr="00DA4AD7" w:rsidRDefault="00DA4AD7" w:rsidP="00DA4AD7">
      <w:pPr>
        <w:jc w:val="both"/>
      </w:pPr>
      <w:r w:rsidRPr="00DA4AD7">
        <w:t>En primer lugar, es importante tener en cuenta que la base de inversores en nuestros mercados de capitales es diversa.</w:t>
      </w:r>
    </w:p>
    <w:p w14:paraId="746DB0B1" w14:textId="77777777" w:rsidR="00DA4AD7" w:rsidRPr="00DA4AD7" w:rsidRDefault="00DA4AD7" w:rsidP="00DA4AD7">
      <w:pPr>
        <w:jc w:val="both"/>
      </w:pPr>
      <w:r w:rsidRPr="00DA4AD7">
        <w:t>Los inversores minoristas son un segmento importante de nuestros mercados de capitales: alrededor de 150 millones. Estos inversores, que aspiran a generar riqueza para ellos y sus familias, tienen distintos niveles de sofisticación financiera y horizontes de inversión. Pueden procesar información de mercado o reaccionar a los costos de transacción de maneras que difieren significativamente de los inversores institucionales.</w:t>
      </w:r>
    </w:p>
    <w:p w14:paraId="2F206220" w14:textId="77777777" w:rsidR="00DA4AD7" w:rsidRPr="00DA4AD7" w:rsidRDefault="00DA4AD7" w:rsidP="00DA4AD7">
      <w:pPr>
        <w:jc w:val="both"/>
      </w:pPr>
      <w:r w:rsidRPr="00DA4AD7">
        <w:t>Los inversores más jóvenes pueden preferir plataformas de negociación en línea o robo-advisors. Estos inversores más jóvenes pueden tener una mayor tolerancia al riesgo en comparación con los inversores de otros grupos de edad, que tal vez prefieran interactuar con nuestros mercados de formas más tradicionales.</w:t>
      </w:r>
    </w:p>
    <w:p w14:paraId="086127CA" w14:textId="77777777" w:rsidR="00DA4AD7" w:rsidRPr="00DA4AD7" w:rsidRDefault="00DA4AD7" w:rsidP="00DA4AD7">
      <w:pPr>
        <w:jc w:val="both"/>
      </w:pPr>
      <w:r w:rsidRPr="00DA4AD7">
        <w:t>Los empresarios de comunidades minoritarias o desatendidas, o de zonas rurales, pueden encontrar barreras estructurales únicas cuando se trata de acceder a capital de inversión.</w:t>
      </w:r>
    </w:p>
    <w:p w14:paraId="124032C6" w14:textId="77777777" w:rsidR="00DA4AD7" w:rsidRPr="00DA4AD7" w:rsidRDefault="00DA4AD7" w:rsidP="00DA4AD7">
      <w:pPr>
        <w:jc w:val="both"/>
      </w:pPr>
      <w:r w:rsidRPr="00DA4AD7">
        <w:t>En resumen, en el contexto de sus circunstancias únicas, todos los inversores se comportan de manera diferente. Un análisis económico que incorpore y mida estas diferencias únicas cuando sea posible puede ser más útil.</w:t>
      </w:r>
    </w:p>
    <w:p w14:paraId="43E886DC" w14:textId="77777777" w:rsidR="00DA4AD7" w:rsidRPr="00DA4AD7" w:rsidRDefault="00DA4AD7" w:rsidP="00DA4AD7">
      <w:pPr>
        <w:jc w:val="both"/>
      </w:pPr>
      <w:r w:rsidRPr="00DA4AD7">
        <w:lastRenderedPageBreak/>
        <w:t>Lo que me lleva a mi segundo punto. Puede valer la pena explorar el uso de IA innovadora, aprendizaje automático y análisis de datos, con barreras de seguridad adecuadas, si puede generar un análisis económico mejorado y fortalecido. Y siempre que no menoscabe en modo alguno nuestra misión estatutaria o el interés público.</w:t>
      </w:r>
    </w:p>
    <w:p w14:paraId="4A8A70DA" w14:textId="77777777" w:rsidR="00DA4AD7" w:rsidRPr="00DA4AD7" w:rsidRDefault="00DA4AD7" w:rsidP="00DA4AD7">
      <w:pPr>
        <w:jc w:val="both"/>
      </w:pPr>
      <w:r w:rsidRPr="00DA4AD7">
        <w:t>Afortunadamente, la Oficina de Ciencia de Datos de DERA ya está liderando iniciativas para desarrollar y respaldar análisis de datos de vanguardia impulsados ​​por IA para respaldar múltiples funciones en toda la Comisión.</w:t>
      </w:r>
    </w:p>
    <w:p w14:paraId="3C182740" w14:textId="77777777" w:rsidR="00DA4AD7" w:rsidRPr="00DA4AD7" w:rsidRDefault="00DA4AD7" w:rsidP="00DA4AD7">
      <w:pPr>
        <w:jc w:val="both"/>
      </w:pPr>
      <w:r w:rsidRPr="00DA4AD7">
        <w:t>Un panorama de mercado en rápida evolución ofrece tanto desafíos como oportunidades: el desafío de mantenerse al día, adaptarse y adelantarse a los cambios rápidos, pero también la oportunidad de aprovechar la tecnología y los datos para fortalecer el análisis económico y nuestra formulación de normas.</w:t>
      </w:r>
    </w:p>
    <w:p w14:paraId="05A683BE" w14:textId="77777777" w:rsidR="00DA4AD7" w:rsidRPr="00DA4AD7" w:rsidRDefault="00DA4AD7" w:rsidP="00DA4AD7">
      <w:pPr>
        <w:jc w:val="both"/>
      </w:pPr>
      <w:r w:rsidRPr="00DA4AD7">
        <w:t>Un desafío único al que nos enfrentamos en el análisis económico es la cuantificación de costos y beneficios. Generalmente, los costos pueden ser más fáciles de cuantificar porque los datos discretos de experiencias pasadas están más fácilmente disponibles. Pero los datos sobre los beneficios futuros que podrían beneficiar a los inversores, a nuestros mercados de capital o a la economía en general son más difusos y más difíciles de conseguir.</w:t>
      </w:r>
    </w:p>
    <w:p w14:paraId="6018BA0E" w14:textId="77777777" w:rsidR="00DA4AD7" w:rsidRPr="00DA4AD7" w:rsidRDefault="00DA4AD7" w:rsidP="00DA4AD7">
      <w:pPr>
        <w:jc w:val="both"/>
      </w:pPr>
      <w:r w:rsidRPr="00DA4AD7">
        <w:t>Hace más de tres décadas, mi profesor de economía de posgrado, mentor y asesor de tesis, James K. Galbraith, me presentó el trabajo del economista sueco ganador del Premio Nobel, Gunnar Myrdal. En particular, el principio de causalidad acumulativa circular aplicado al análisis de las disparidades económicas en la América negra de la década de 1940.</w:t>
      </w:r>
    </w:p>
    <w:p w14:paraId="2FA6A778" w14:textId="77271EAC" w:rsidR="00DA4AD7" w:rsidRPr="00DA4AD7" w:rsidRDefault="00DA4AD7" w:rsidP="00DA4AD7">
      <w:pPr>
        <w:jc w:val="both"/>
      </w:pPr>
      <w:r w:rsidRPr="00DA4AD7">
        <w:t>El trabajo de Myrdal en esta área fue financiado por una destacada fundación estadounidense. Su principal investigador fue Ralph Bunche, un académico y diplomático que recibió el Premio Nobel de la Paz en 1950, el primer premio Nobel afroamericano. Su trabajo fue tan influyente que la Corte Suprema de Estados Unidos lo citó en el caso</w:t>
      </w:r>
      <w:r w:rsidR="003B6345">
        <w:t xml:space="preserve"> </w:t>
      </w:r>
      <w:r w:rsidRPr="00DA4AD7">
        <w:rPr>
          <w:i/>
          <w:iCs/>
        </w:rPr>
        <w:t>Brown v. Board of Education</w:t>
      </w:r>
      <w:r w:rsidRPr="00DA4AD7">
        <w:t>.</w:t>
      </w:r>
    </w:p>
    <w:p w14:paraId="27736E27" w14:textId="77777777" w:rsidR="00DA4AD7" w:rsidRPr="00DA4AD7" w:rsidRDefault="00DA4AD7" w:rsidP="00DA4AD7">
      <w:pPr>
        <w:jc w:val="both"/>
      </w:pPr>
      <w:r w:rsidRPr="00DA4AD7">
        <w:t>El pensamiento de Myrdal realmente me cautivó. Su marco ofreció una herramienta valiosa para analizar cómo los factores que exacerban las disparidades económicas pueden reforzarse mutuamente en un círculo vicioso que puede persistir en el tiempo. Pero el marco también se aplicó a la solución. Los cambios de políticas pueden interrumpir el círculo vicioso y convertirlo en uno virtuoso, con efectos multiplicadores beneficiosos.</w:t>
      </w:r>
    </w:p>
    <w:p w14:paraId="1255938E" w14:textId="77777777" w:rsidR="00DA4AD7" w:rsidRPr="00DA4AD7" w:rsidRDefault="00DA4AD7" w:rsidP="00DA4AD7">
      <w:pPr>
        <w:jc w:val="both"/>
      </w:pPr>
      <w:r w:rsidRPr="00DA4AD7">
        <w:t>Hay una lógica convincente en este marco. Entonces, como economistas, les pido que consideren esto: aprovechado con análisis de datos y herramientas innovadoras de inteligencia artificial utilizadas de manera responsable, ¿podría este marco mejorar la calidad de nuestro análisis económico?</w:t>
      </w:r>
    </w:p>
    <w:p w14:paraId="780A69B4" w14:textId="77777777" w:rsidR="00DA4AD7" w:rsidRPr="00DA4AD7" w:rsidRDefault="00DA4AD7" w:rsidP="00DA4AD7">
      <w:pPr>
        <w:jc w:val="both"/>
      </w:pPr>
      <w:r w:rsidRPr="00DA4AD7">
        <w:t>Veo mucho potencial en ello para ampliar nuestro pensamiento en esta área.</w:t>
      </w:r>
    </w:p>
    <w:p w14:paraId="4286044B" w14:textId="77777777" w:rsidR="00DA4AD7" w:rsidRPr="00DA4AD7" w:rsidRDefault="00DA4AD7" w:rsidP="00DA4AD7">
      <w:pPr>
        <w:jc w:val="both"/>
      </w:pPr>
      <w:r w:rsidRPr="00DA4AD7">
        <w:t>En una época en la que el análisis de datos puede desbloquear tantas posibilidades nuevas, el optimista que hay en mí cree que puede ayudarnos a mejorar el modelado y la estimación de beneficios potenciales. Beneficios como la reducción de la información asimétrica y las barreras competitivas, el fomento de una mayor confianza de los inversores y la estabilidad financiera, y la reducción de la asunción de riesgos innecesarios o excesivos.</w:t>
      </w:r>
    </w:p>
    <w:p w14:paraId="2A5F8C49" w14:textId="77777777" w:rsidR="00DA4AD7" w:rsidRPr="00DA4AD7" w:rsidRDefault="00DA4AD7" w:rsidP="00DA4AD7">
      <w:pPr>
        <w:jc w:val="both"/>
      </w:pPr>
      <w:r w:rsidRPr="00DA4AD7">
        <w:lastRenderedPageBreak/>
        <w:t>Permítanme volver ahora a lo que planteé al principio: el imperativo de una comunicación clara y comprensible con el público.</w:t>
      </w:r>
    </w:p>
    <w:p w14:paraId="2E959A99" w14:textId="77777777" w:rsidR="00DA4AD7" w:rsidRPr="00DA4AD7" w:rsidRDefault="00DA4AD7" w:rsidP="00DA4AD7">
      <w:pPr>
        <w:jc w:val="both"/>
      </w:pPr>
      <w:r w:rsidRPr="00DA4AD7">
        <w:t>Esta semana hace un año que tuve el privilegio especial de pronunciar un discurso de graduación en mi alma mater, la Escuela de Asuntos Públicos Lyndon B. Johnson de la Universidad de Texas, Austin.</w:t>
      </w:r>
    </w:p>
    <w:p w14:paraId="3C589D66" w14:textId="77777777" w:rsidR="00DA4AD7" w:rsidRPr="00DA4AD7" w:rsidRDefault="00DA4AD7" w:rsidP="00DA4AD7">
      <w:pPr>
        <w:jc w:val="both"/>
      </w:pPr>
      <w:r w:rsidRPr="00DA4AD7">
        <w:t>Insté a los graduados a esforzarse por lograr una comunicación clara y eficaz con el público. Como profesionales de las políticas, articular cómo su trabajo beneficia al público es esencial para el apoyo público a su misión.</w:t>
      </w:r>
    </w:p>
    <w:p w14:paraId="2E9B2647" w14:textId="77777777" w:rsidR="00DA4AD7" w:rsidRPr="00DA4AD7" w:rsidRDefault="00DA4AD7" w:rsidP="00DA4AD7">
      <w:pPr>
        <w:jc w:val="both"/>
      </w:pPr>
      <w:r w:rsidRPr="00DA4AD7">
        <w:t>Como investigadores, su trabajo puede contribuir mucho al cumplimiento efectivo de nuestra misión. Pero para maximizar su impacto, una audiencia no técnica debería poder entenderlo. No puedo enfatizar esto lo suficiente.</w:t>
      </w:r>
    </w:p>
    <w:p w14:paraId="11182B91" w14:textId="77777777" w:rsidR="00DA4AD7" w:rsidRPr="00DA4AD7" w:rsidRDefault="00DA4AD7" w:rsidP="00DA4AD7">
      <w:pPr>
        <w:jc w:val="both"/>
      </w:pPr>
      <w:r w:rsidRPr="00DA4AD7">
        <w:t>Sí, nuestro trabajo es necesariamente técnico y complejo, pero nada de lo que hagamos aquí debería estar fuera del alcance del público. Si no cumplimos con esta prueba, la más básica, también le estamos fallando al público al que tenemos el deber de servir y cuyos intereses debemos proteger por encima de todos los demás.</w:t>
      </w:r>
    </w:p>
    <w:p w14:paraId="674C0EDF" w14:textId="77777777" w:rsidR="00DA4AD7" w:rsidRPr="00DA4AD7" w:rsidRDefault="00DA4AD7" w:rsidP="00DA4AD7">
      <w:pPr>
        <w:jc w:val="both"/>
      </w:pPr>
      <w:r w:rsidRPr="00DA4AD7">
        <w:t>Para mí, este es un elemento vital en la búsqueda de la excelencia.</w:t>
      </w:r>
    </w:p>
    <w:p w14:paraId="6BE37FDD" w14:textId="77777777" w:rsidR="00DA4AD7" w:rsidRPr="00DA4AD7" w:rsidRDefault="00DA4AD7" w:rsidP="00DA4AD7">
      <w:pPr>
        <w:jc w:val="both"/>
      </w:pPr>
      <w:r w:rsidRPr="00DA4AD7">
        <w:t>Servimos al público de manera más efectiva cuando el valioso trabajo de la Comisión para proteger nuestros mercados e inversionistas cumple con los más altos estándares de excelencia.</w:t>
      </w:r>
    </w:p>
    <w:p w14:paraId="11AD2EFC" w14:textId="77777777" w:rsidR="00DA4AD7" w:rsidRPr="00DA4AD7" w:rsidRDefault="00DA4AD7" w:rsidP="00DA4AD7">
      <w:pPr>
        <w:jc w:val="both"/>
      </w:pPr>
      <w:r w:rsidRPr="00DA4AD7">
        <w:t>Terminaré con una historia sobre por qué la búsqueda de la excelencia es tan importante. Se trata del fútbol, ​​un deporte que sigo de cerca y amo.</w:t>
      </w:r>
    </w:p>
    <w:p w14:paraId="3BF02A07" w14:textId="77777777" w:rsidR="00DA4AD7" w:rsidRPr="00DA4AD7" w:rsidRDefault="00DA4AD7" w:rsidP="00DA4AD7">
      <w:pPr>
        <w:jc w:val="both"/>
      </w:pPr>
      <w:r w:rsidRPr="00DA4AD7">
        <w:t>Pep Guardiola, el entrenador catalán del Manchester City Football Club, es probablemente el mejor entrenador de fútbol de todos los tiempos. Por cualquier medida.</w:t>
      </w:r>
    </w:p>
    <w:p w14:paraId="07891607" w14:textId="77777777" w:rsidR="00DA4AD7" w:rsidRPr="00DA4AD7" w:rsidRDefault="00DA4AD7" w:rsidP="00DA4AD7">
      <w:pPr>
        <w:jc w:val="both"/>
      </w:pPr>
      <w:r w:rsidRPr="00DA4AD7">
        <w:t>El logro más codiciado del fútbol europeo es ganar el Triplete Continental en una sola temporada, una hazaña que sólo ocho clubes de Europa han logrado. Guardiola es el único entrenador que lo ha ganado dos veces, con dos clubes diferentes. En las últimas 14 temporadas ha ganado 11 títulos de Liga. Y está a punto de llevar a su equipo a un cuarto título consecutivo de la Premier League inglesa.</w:t>
      </w:r>
    </w:p>
    <w:p w14:paraId="311EC8F6" w14:textId="77777777" w:rsidR="00DA4AD7" w:rsidRPr="00DA4AD7" w:rsidRDefault="00DA4AD7" w:rsidP="00DA4AD7">
      <w:pPr>
        <w:jc w:val="both"/>
      </w:pPr>
      <w:r w:rsidRPr="00DA4AD7">
        <w:t>Un documental que se ha emitido en uno de los servicios de streaming ofrece una mirada al compromiso de Guardiola con la búsqueda de la excelencia. Sus jugadores entran al vestuario en el descanso, mareados porque han marcado cuatro goles ante su rival de la ciudad, el Manchester United. Pero Guardiola les dice a sus jugadores: “4-0. No puedo decir que sea malo, pero no es perfecto… Estuviste brillante, pero te insto a que seas más perfecto…”</w:t>
      </w:r>
    </w:p>
    <w:p w14:paraId="0510449C" w14:textId="77777777" w:rsidR="00DA4AD7" w:rsidRPr="00DA4AD7" w:rsidRDefault="00DA4AD7" w:rsidP="00DA4AD7">
      <w:pPr>
        <w:jc w:val="both"/>
      </w:pPr>
      <w:r w:rsidRPr="00DA4AD7">
        <w:t>La lección que extraigo de esta viñeta que se aplica a nuestro trabajo es que incluso en nuestros momentos cumbre no debemos –ni podemos– perder de vista la búsqueda de la excelencia.</w:t>
      </w:r>
    </w:p>
    <w:p w14:paraId="5C24D3D6" w14:textId="77777777" w:rsidR="00DA4AD7" w:rsidRPr="00DA4AD7" w:rsidRDefault="00DA4AD7" w:rsidP="00DA4AD7">
      <w:pPr>
        <w:jc w:val="both"/>
      </w:pPr>
      <w:r w:rsidRPr="00DA4AD7">
        <w:t>Gracias por escucharnos y por acompañarnos hoy aquí. Mis mejores deseos para todos ustedes en sus próximas discusiones.</w:t>
      </w:r>
    </w:p>
    <w:p w14:paraId="0BDF974E" w14:textId="77777777" w:rsidR="00DA4AD7" w:rsidRPr="00DA4AD7" w:rsidRDefault="003B6345" w:rsidP="00DA4AD7">
      <w:pPr>
        <w:jc w:val="both"/>
      </w:pPr>
      <w:r>
        <w:pict w14:anchorId="598E376E">
          <v:rect id="_x0000_i1025" style="width:145.85pt;height:0" o:hrpct="330" o:hrstd="t" o:hrnoshade="t" o:hr="t" fillcolor="#b3b3b3" stroked="f"/>
        </w:pict>
      </w:r>
    </w:p>
    <w:bookmarkStart w:id="1" w:name="_ftn1"/>
    <w:p w14:paraId="1BBC47A8" w14:textId="0966DA4F" w:rsidR="00DA4AD7" w:rsidRPr="00DA4AD7" w:rsidRDefault="00DA4AD7" w:rsidP="00DA4AD7">
      <w:pPr>
        <w:jc w:val="both"/>
      </w:pPr>
      <w:r w:rsidRPr="00DA4AD7">
        <w:lastRenderedPageBreak/>
        <w:fldChar w:fldCharType="begin"/>
      </w:r>
      <w:r w:rsidRPr="00DA4AD7">
        <w:instrText xml:space="preserve"> HYPERLINK "https://www.sec.gov/news/speech/lizarraga-remarks-conference-financial-market-regulation-051024" \l "_ftnref1" </w:instrText>
      </w:r>
      <w:r w:rsidRPr="00DA4AD7">
        <w:fldChar w:fldCharType="separate"/>
      </w:r>
      <w:r w:rsidRPr="00DA4AD7">
        <w:rPr>
          <w:rStyle w:val="Hipervnculo"/>
        </w:rPr>
        <w:t>[1]</w:t>
      </w:r>
      <w:r w:rsidRPr="00DA4AD7">
        <w:fldChar w:fldCharType="end"/>
      </w:r>
      <w:bookmarkEnd w:id="1"/>
      <w:r w:rsidR="003B6345">
        <w:t xml:space="preserve"> </w:t>
      </w:r>
      <w:r w:rsidRPr="00DA4AD7">
        <w:t>Me gustaría señalar que mis puntos de vista son los míos como Comisionado de la Comisión de Bolsa y Valores, y no hablo en nombre de mis compañeros Comisionados ni del personal de la SEC.</w:t>
      </w:r>
    </w:p>
    <w:p w14:paraId="35077C48" w14:textId="237232F7" w:rsidR="00DA4AD7" w:rsidRDefault="00DA4AD7" w:rsidP="00DA4AD7">
      <w:pPr>
        <w:jc w:val="both"/>
      </w:pPr>
      <w:r w:rsidRPr="00DA4AD7">
        <w:rPr>
          <w:noProof/>
        </w:rPr>
        <w:drawing>
          <wp:inline distT="0" distB="0" distL="0" distR="0" wp14:anchorId="10B7CBA0" wp14:editId="1789FB16">
            <wp:extent cx="5612130" cy="145224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1452245"/>
                    </a:xfrm>
                    <a:prstGeom prst="rect">
                      <a:avLst/>
                    </a:prstGeom>
                  </pic:spPr>
                </pic:pic>
              </a:graphicData>
            </a:graphic>
          </wp:inline>
        </w:drawing>
      </w:r>
    </w:p>
    <w:p w14:paraId="6F19FB81" w14:textId="77777777" w:rsidR="00DA4AD7" w:rsidRDefault="00DA4AD7" w:rsidP="00DA4AD7">
      <w:pPr>
        <w:jc w:val="both"/>
      </w:pPr>
    </w:p>
    <w:sectPr w:rsidR="00DA4A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AD7"/>
    <w:rsid w:val="00335D35"/>
    <w:rsid w:val="003B6345"/>
    <w:rsid w:val="00D80FC7"/>
    <w:rsid w:val="00DA4A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D31C33"/>
  <w15:chartTrackingRefBased/>
  <w15:docId w15:val="{043DBE6A-05F5-40A3-9A8D-B165C9283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A4AD7"/>
    <w:rPr>
      <w:color w:val="0563C1" w:themeColor="hyperlink"/>
      <w:u w:val="single"/>
    </w:rPr>
  </w:style>
  <w:style w:type="character" w:styleId="Mencinsinresolver">
    <w:name w:val="Unresolved Mention"/>
    <w:basedOn w:val="Fuentedeprrafopredeter"/>
    <w:uiPriority w:val="99"/>
    <w:semiHidden/>
    <w:unhideWhenUsed/>
    <w:rsid w:val="00DA4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534839">
      <w:bodyDiv w:val="1"/>
      <w:marLeft w:val="0"/>
      <w:marRight w:val="0"/>
      <w:marTop w:val="0"/>
      <w:marBottom w:val="0"/>
      <w:divBdr>
        <w:top w:val="none" w:sz="0" w:space="0" w:color="auto"/>
        <w:left w:val="none" w:sz="0" w:space="0" w:color="auto"/>
        <w:bottom w:val="none" w:sz="0" w:space="0" w:color="auto"/>
        <w:right w:val="none" w:sz="0" w:space="0" w:color="auto"/>
      </w:divBdr>
      <w:divsChild>
        <w:div w:id="2073964896">
          <w:marLeft w:val="0"/>
          <w:marRight w:val="0"/>
          <w:marTop w:val="0"/>
          <w:marBottom w:val="300"/>
          <w:divBdr>
            <w:top w:val="none" w:sz="0" w:space="0" w:color="auto"/>
            <w:left w:val="none" w:sz="0" w:space="0" w:color="auto"/>
            <w:bottom w:val="none" w:sz="0" w:space="0" w:color="auto"/>
            <w:right w:val="none" w:sz="0" w:space="0" w:color="auto"/>
          </w:divBdr>
          <w:divsChild>
            <w:div w:id="1381441651">
              <w:marLeft w:val="0"/>
              <w:marRight w:val="0"/>
              <w:marTop w:val="0"/>
              <w:marBottom w:val="0"/>
              <w:divBdr>
                <w:top w:val="none" w:sz="0" w:space="0" w:color="auto"/>
                <w:left w:val="none" w:sz="0" w:space="0" w:color="auto"/>
                <w:bottom w:val="none" w:sz="0" w:space="0" w:color="auto"/>
                <w:right w:val="none" w:sz="0" w:space="0" w:color="auto"/>
              </w:divBdr>
              <w:divsChild>
                <w:div w:id="763500344">
                  <w:marLeft w:val="0"/>
                  <w:marRight w:val="0"/>
                  <w:marTop w:val="0"/>
                  <w:marBottom w:val="0"/>
                  <w:divBdr>
                    <w:top w:val="none" w:sz="0" w:space="0" w:color="auto"/>
                    <w:left w:val="none" w:sz="0" w:space="0" w:color="auto"/>
                    <w:bottom w:val="none" w:sz="0" w:space="0" w:color="auto"/>
                    <w:right w:val="none" w:sz="0" w:space="0" w:color="auto"/>
                  </w:divBdr>
                  <w:divsChild>
                    <w:div w:id="1380129311">
                      <w:marLeft w:val="0"/>
                      <w:marRight w:val="0"/>
                      <w:marTop w:val="150"/>
                      <w:marBottom w:val="0"/>
                      <w:divBdr>
                        <w:top w:val="none" w:sz="0" w:space="0" w:color="auto"/>
                        <w:left w:val="none" w:sz="0" w:space="0" w:color="auto"/>
                        <w:bottom w:val="none" w:sz="0" w:space="0" w:color="auto"/>
                        <w:right w:val="none" w:sz="0" w:space="0" w:color="auto"/>
                      </w:divBdr>
                      <w:divsChild>
                        <w:div w:id="9622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940748">
          <w:marLeft w:val="0"/>
          <w:marRight w:val="0"/>
          <w:marTop w:val="0"/>
          <w:marBottom w:val="300"/>
          <w:divBdr>
            <w:top w:val="none" w:sz="0" w:space="0" w:color="auto"/>
            <w:left w:val="none" w:sz="0" w:space="0" w:color="auto"/>
            <w:bottom w:val="none" w:sz="0" w:space="0" w:color="auto"/>
            <w:right w:val="none" w:sz="0" w:space="0" w:color="auto"/>
          </w:divBdr>
          <w:divsChild>
            <w:div w:id="227110489">
              <w:marLeft w:val="0"/>
              <w:marRight w:val="0"/>
              <w:marTop w:val="0"/>
              <w:marBottom w:val="180"/>
              <w:divBdr>
                <w:top w:val="none" w:sz="0" w:space="0" w:color="auto"/>
                <w:left w:val="none" w:sz="0" w:space="0" w:color="auto"/>
                <w:bottom w:val="none" w:sz="0" w:space="0" w:color="auto"/>
                <w:right w:val="none" w:sz="0" w:space="0" w:color="auto"/>
              </w:divBdr>
              <w:divsChild>
                <w:div w:id="587538725">
                  <w:marLeft w:val="0"/>
                  <w:marRight w:val="0"/>
                  <w:marTop w:val="0"/>
                  <w:marBottom w:val="300"/>
                  <w:divBdr>
                    <w:top w:val="none" w:sz="0" w:space="0" w:color="auto"/>
                    <w:left w:val="none" w:sz="0" w:space="0" w:color="auto"/>
                    <w:bottom w:val="none" w:sz="0" w:space="0" w:color="auto"/>
                    <w:right w:val="none" w:sz="0" w:space="0" w:color="auto"/>
                  </w:divBdr>
                  <w:divsChild>
                    <w:div w:id="16667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985478">
              <w:marLeft w:val="0"/>
              <w:marRight w:val="0"/>
              <w:marTop w:val="0"/>
              <w:marBottom w:val="0"/>
              <w:divBdr>
                <w:top w:val="none" w:sz="0" w:space="0" w:color="auto"/>
                <w:left w:val="none" w:sz="0" w:space="0" w:color="auto"/>
                <w:bottom w:val="none" w:sz="0" w:space="0" w:color="auto"/>
                <w:right w:val="none" w:sz="0" w:space="0" w:color="auto"/>
              </w:divBdr>
              <w:divsChild>
                <w:div w:id="100226054">
                  <w:marLeft w:val="0"/>
                  <w:marRight w:val="0"/>
                  <w:marTop w:val="0"/>
                  <w:marBottom w:val="0"/>
                  <w:divBdr>
                    <w:top w:val="none" w:sz="0" w:space="0" w:color="auto"/>
                    <w:left w:val="none" w:sz="0" w:space="0" w:color="auto"/>
                    <w:bottom w:val="none" w:sz="0" w:space="0" w:color="auto"/>
                    <w:right w:val="none" w:sz="0" w:space="0" w:color="auto"/>
                  </w:divBdr>
                  <w:divsChild>
                    <w:div w:id="203942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907643">
      <w:bodyDiv w:val="1"/>
      <w:marLeft w:val="0"/>
      <w:marRight w:val="0"/>
      <w:marTop w:val="0"/>
      <w:marBottom w:val="0"/>
      <w:divBdr>
        <w:top w:val="none" w:sz="0" w:space="0" w:color="auto"/>
        <w:left w:val="none" w:sz="0" w:space="0" w:color="auto"/>
        <w:bottom w:val="none" w:sz="0" w:space="0" w:color="auto"/>
        <w:right w:val="none" w:sz="0" w:space="0" w:color="auto"/>
      </w:divBdr>
      <w:divsChild>
        <w:div w:id="1632206384">
          <w:marLeft w:val="0"/>
          <w:marRight w:val="0"/>
          <w:marTop w:val="0"/>
          <w:marBottom w:val="300"/>
          <w:divBdr>
            <w:top w:val="none" w:sz="0" w:space="0" w:color="auto"/>
            <w:left w:val="none" w:sz="0" w:space="0" w:color="auto"/>
            <w:bottom w:val="none" w:sz="0" w:space="0" w:color="auto"/>
            <w:right w:val="none" w:sz="0" w:space="0" w:color="auto"/>
          </w:divBdr>
          <w:divsChild>
            <w:div w:id="786586816">
              <w:marLeft w:val="0"/>
              <w:marRight w:val="0"/>
              <w:marTop w:val="0"/>
              <w:marBottom w:val="0"/>
              <w:divBdr>
                <w:top w:val="none" w:sz="0" w:space="0" w:color="auto"/>
                <w:left w:val="none" w:sz="0" w:space="0" w:color="auto"/>
                <w:bottom w:val="none" w:sz="0" w:space="0" w:color="auto"/>
                <w:right w:val="none" w:sz="0" w:space="0" w:color="auto"/>
              </w:divBdr>
              <w:divsChild>
                <w:div w:id="551581699">
                  <w:marLeft w:val="0"/>
                  <w:marRight w:val="0"/>
                  <w:marTop w:val="0"/>
                  <w:marBottom w:val="0"/>
                  <w:divBdr>
                    <w:top w:val="none" w:sz="0" w:space="0" w:color="auto"/>
                    <w:left w:val="none" w:sz="0" w:space="0" w:color="auto"/>
                    <w:bottom w:val="none" w:sz="0" w:space="0" w:color="auto"/>
                    <w:right w:val="none" w:sz="0" w:space="0" w:color="auto"/>
                  </w:divBdr>
                  <w:divsChild>
                    <w:div w:id="183133542">
                      <w:marLeft w:val="0"/>
                      <w:marRight w:val="0"/>
                      <w:marTop w:val="150"/>
                      <w:marBottom w:val="0"/>
                      <w:divBdr>
                        <w:top w:val="none" w:sz="0" w:space="0" w:color="auto"/>
                        <w:left w:val="none" w:sz="0" w:space="0" w:color="auto"/>
                        <w:bottom w:val="none" w:sz="0" w:space="0" w:color="auto"/>
                        <w:right w:val="none" w:sz="0" w:space="0" w:color="auto"/>
                      </w:divBdr>
                      <w:divsChild>
                        <w:div w:id="158232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354471">
          <w:marLeft w:val="0"/>
          <w:marRight w:val="0"/>
          <w:marTop w:val="0"/>
          <w:marBottom w:val="300"/>
          <w:divBdr>
            <w:top w:val="none" w:sz="0" w:space="0" w:color="auto"/>
            <w:left w:val="none" w:sz="0" w:space="0" w:color="auto"/>
            <w:bottom w:val="none" w:sz="0" w:space="0" w:color="auto"/>
            <w:right w:val="none" w:sz="0" w:space="0" w:color="auto"/>
          </w:divBdr>
          <w:divsChild>
            <w:div w:id="1802922847">
              <w:marLeft w:val="0"/>
              <w:marRight w:val="0"/>
              <w:marTop w:val="0"/>
              <w:marBottom w:val="180"/>
              <w:divBdr>
                <w:top w:val="none" w:sz="0" w:space="0" w:color="auto"/>
                <w:left w:val="none" w:sz="0" w:space="0" w:color="auto"/>
                <w:bottom w:val="none" w:sz="0" w:space="0" w:color="auto"/>
                <w:right w:val="none" w:sz="0" w:space="0" w:color="auto"/>
              </w:divBdr>
              <w:divsChild>
                <w:div w:id="2063364727">
                  <w:marLeft w:val="0"/>
                  <w:marRight w:val="0"/>
                  <w:marTop w:val="0"/>
                  <w:marBottom w:val="300"/>
                  <w:divBdr>
                    <w:top w:val="none" w:sz="0" w:space="0" w:color="auto"/>
                    <w:left w:val="none" w:sz="0" w:space="0" w:color="auto"/>
                    <w:bottom w:val="none" w:sz="0" w:space="0" w:color="auto"/>
                    <w:right w:val="none" w:sz="0" w:space="0" w:color="auto"/>
                  </w:divBdr>
                  <w:divsChild>
                    <w:div w:id="10496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829056">
              <w:marLeft w:val="0"/>
              <w:marRight w:val="0"/>
              <w:marTop w:val="0"/>
              <w:marBottom w:val="0"/>
              <w:divBdr>
                <w:top w:val="none" w:sz="0" w:space="0" w:color="auto"/>
                <w:left w:val="none" w:sz="0" w:space="0" w:color="auto"/>
                <w:bottom w:val="none" w:sz="0" w:space="0" w:color="auto"/>
                <w:right w:val="none" w:sz="0" w:space="0" w:color="auto"/>
              </w:divBdr>
              <w:divsChild>
                <w:div w:id="610625045">
                  <w:marLeft w:val="0"/>
                  <w:marRight w:val="0"/>
                  <w:marTop w:val="0"/>
                  <w:marBottom w:val="0"/>
                  <w:divBdr>
                    <w:top w:val="none" w:sz="0" w:space="0" w:color="auto"/>
                    <w:left w:val="none" w:sz="0" w:space="0" w:color="auto"/>
                    <w:bottom w:val="none" w:sz="0" w:space="0" w:color="auto"/>
                    <w:right w:val="none" w:sz="0" w:space="0" w:color="auto"/>
                  </w:divBdr>
                  <w:divsChild>
                    <w:div w:id="104151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760221">
      <w:bodyDiv w:val="1"/>
      <w:marLeft w:val="0"/>
      <w:marRight w:val="0"/>
      <w:marTop w:val="0"/>
      <w:marBottom w:val="0"/>
      <w:divBdr>
        <w:top w:val="none" w:sz="0" w:space="0" w:color="auto"/>
        <w:left w:val="none" w:sz="0" w:space="0" w:color="auto"/>
        <w:bottom w:val="none" w:sz="0" w:space="0" w:color="auto"/>
        <w:right w:val="none" w:sz="0" w:space="0" w:color="auto"/>
      </w:divBdr>
      <w:divsChild>
        <w:div w:id="1278828994">
          <w:marLeft w:val="0"/>
          <w:marRight w:val="0"/>
          <w:marTop w:val="0"/>
          <w:marBottom w:val="0"/>
          <w:divBdr>
            <w:top w:val="none" w:sz="0" w:space="0" w:color="auto"/>
            <w:left w:val="none" w:sz="0" w:space="0" w:color="auto"/>
            <w:bottom w:val="none" w:sz="0" w:space="0" w:color="auto"/>
            <w:right w:val="none" w:sz="0" w:space="0" w:color="auto"/>
          </w:divBdr>
        </w:div>
        <w:div w:id="1727532642">
          <w:marLeft w:val="0"/>
          <w:marRight w:val="0"/>
          <w:marTop w:val="300"/>
          <w:marBottom w:val="300"/>
          <w:divBdr>
            <w:top w:val="none" w:sz="0" w:space="0" w:color="auto"/>
            <w:left w:val="none" w:sz="0" w:space="0" w:color="auto"/>
            <w:bottom w:val="none" w:sz="0" w:space="0" w:color="auto"/>
            <w:right w:val="none" w:sz="0" w:space="0" w:color="auto"/>
          </w:divBdr>
        </w:div>
        <w:div w:id="1268541103">
          <w:marLeft w:val="0"/>
          <w:marRight w:val="0"/>
          <w:marTop w:val="600"/>
          <w:marBottom w:val="0"/>
          <w:divBdr>
            <w:top w:val="none" w:sz="0" w:space="0" w:color="auto"/>
            <w:left w:val="none" w:sz="0" w:space="0" w:color="auto"/>
            <w:bottom w:val="none" w:sz="0" w:space="0" w:color="auto"/>
            <w:right w:val="none" w:sz="0" w:space="0" w:color="auto"/>
          </w:divBdr>
          <w:divsChild>
            <w:div w:id="1350839384">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 w:id="2001734823">
      <w:bodyDiv w:val="1"/>
      <w:marLeft w:val="0"/>
      <w:marRight w:val="0"/>
      <w:marTop w:val="0"/>
      <w:marBottom w:val="0"/>
      <w:divBdr>
        <w:top w:val="none" w:sz="0" w:space="0" w:color="auto"/>
        <w:left w:val="none" w:sz="0" w:space="0" w:color="auto"/>
        <w:bottom w:val="none" w:sz="0" w:space="0" w:color="auto"/>
        <w:right w:val="none" w:sz="0" w:space="0" w:color="auto"/>
      </w:divBdr>
      <w:divsChild>
        <w:div w:id="11495545">
          <w:marLeft w:val="0"/>
          <w:marRight w:val="0"/>
          <w:marTop w:val="0"/>
          <w:marBottom w:val="0"/>
          <w:divBdr>
            <w:top w:val="none" w:sz="0" w:space="0" w:color="auto"/>
            <w:left w:val="none" w:sz="0" w:space="0" w:color="auto"/>
            <w:bottom w:val="none" w:sz="0" w:space="0" w:color="auto"/>
            <w:right w:val="none" w:sz="0" w:space="0" w:color="auto"/>
          </w:divBdr>
        </w:div>
        <w:div w:id="573854663">
          <w:marLeft w:val="0"/>
          <w:marRight w:val="0"/>
          <w:marTop w:val="300"/>
          <w:marBottom w:val="300"/>
          <w:divBdr>
            <w:top w:val="none" w:sz="0" w:space="0" w:color="auto"/>
            <w:left w:val="none" w:sz="0" w:space="0" w:color="auto"/>
            <w:bottom w:val="none" w:sz="0" w:space="0" w:color="auto"/>
            <w:right w:val="none" w:sz="0" w:space="0" w:color="auto"/>
          </w:divBdr>
        </w:div>
        <w:div w:id="871306508">
          <w:marLeft w:val="0"/>
          <w:marRight w:val="0"/>
          <w:marTop w:val="600"/>
          <w:marBottom w:val="0"/>
          <w:divBdr>
            <w:top w:val="none" w:sz="0" w:space="0" w:color="auto"/>
            <w:left w:val="none" w:sz="0" w:space="0" w:color="auto"/>
            <w:bottom w:val="none" w:sz="0" w:space="0" w:color="auto"/>
            <w:right w:val="none" w:sz="0" w:space="0" w:color="auto"/>
          </w:divBdr>
          <w:divsChild>
            <w:div w:id="535124472">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dera/" TargetMode="External"/><Relationship Id="rId13"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s://www.xbrl.org/tag/ai/" TargetMode="External"/><Relationship Id="rId12" Type="http://schemas.openxmlformats.org/officeDocument/2006/relationships/hyperlink" Target="https://www.sec.gov/about/commissioners/jaime-lizarraga"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sec.gov/news/speech/lizarraga-remarks-conference-financial-market-regulation-051024" TargetMode="External"/><Relationship Id="rId11" Type="http://schemas.openxmlformats.org/officeDocument/2006/relationships/image" Target="media/image2.png"/><Relationship Id="rId5" Type="http://schemas.openxmlformats.org/officeDocument/2006/relationships/hyperlink" Target="https://www.xbrl.org/news/leveraging-ai-and-data-analytics-in-financial-regulation/" TargetMode="External"/><Relationship Id="rId15" Type="http://schemas.openxmlformats.org/officeDocument/2006/relationships/fontTable" Target="fontTable.xml"/><Relationship Id="rId10" Type="http://schemas.openxmlformats.org/officeDocument/2006/relationships/hyperlink" Target="https://www.xbrl.org/tag/sec/" TargetMode="External"/><Relationship Id="rId4" Type="http://schemas.openxmlformats.org/officeDocument/2006/relationships/image" Target="media/image1.jpeg"/><Relationship Id="rId9" Type="http://schemas.openxmlformats.org/officeDocument/2006/relationships/hyperlink" Target="https://www.xbrl.org/tag/ml/" TargetMode="Externa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2099</Words>
  <Characters>11546</Characters>
  <Application>Microsoft Office Word</Application>
  <DocSecurity>0</DocSecurity>
  <Lines>96</Lines>
  <Paragraphs>27</Paragraphs>
  <ScaleCrop>false</ScaleCrop>
  <Company/>
  <LinksUpToDate>false</LinksUpToDate>
  <CharactersWithSpaces>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cp:lastModifiedBy>
  <cp:revision>3</cp:revision>
  <dcterms:created xsi:type="dcterms:W3CDTF">2024-05-30T02:31:00Z</dcterms:created>
  <dcterms:modified xsi:type="dcterms:W3CDTF">2024-07-02T03:23:00Z</dcterms:modified>
</cp:coreProperties>
</file>