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41DEB" w14:textId="77777777" w:rsidR="00F53E93" w:rsidRPr="00F53E93" w:rsidRDefault="00F53E93" w:rsidP="00F53E93">
      <w:pPr>
        <w:jc w:val="both"/>
        <w:rPr>
          <w:rFonts w:ascii="Arial Nova Cond" w:hAnsi="Arial Nova Cond"/>
          <w:sz w:val="24"/>
          <w:szCs w:val="24"/>
        </w:rPr>
      </w:pPr>
      <w:r w:rsidRPr="00F53E93">
        <w:rPr>
          <w:rFonts w:ascii="Arial Nova Cond" w:hAnsi="Arial Nova Cond"/>
          <w:sz w:val="24"/>
          <w:szCs w:val="24"/>
        </w:rPr>
        <w:t>La ESMA refuerza la presentación de informes de sostenibilidad corporativa con nuevas directrices</w:t>
      </w:r>
    </w:p>
    <w:p w14:paraId="7CA98AFA" w14:textId="0092927C" w:rsidR="00F53E93" w:rsidRPr="00F53E93" w:rsidRDefault="00F53E93" w:rsidP="00F53E93">
      <w:pPr>
        <w:jc w:val="both"/>
      </w:pPr>
      <w:r w:rsidRPr="00F53E93">
        <w:rPr>
          <w:noProof/>
        </w:rPr>
        <w:drawing>
          <wp:inline distT="0" distB="0" distL="0" distR="0" wp14:anchorId="4B76122D" wp14:editId="46E955EF">
            <wp:extent cx="5612130" cy="37414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03A35B3E" w14:textId="77777777" w:rsidR="00E5651B" w:rsidRPr="00F53E93" w:rsidRDefault="00E5651B" w:rsidP="00E5651B">
      <w:pPr>
        <w:jc w:val="both"/>
      </w:pPr>
      <w:r w:rsidRPr="00F53E93">
        <w:t>Publicado el 14 de julio de 2024 por</w:t>
      </w:r>
      <w:r>
        <w:t xml:space="preserve"> </w:t>
      </w:r>
      <w:hyperlink r:id="rId6" w:history="1">
        <w:r w:rsidRPr="00F53E93">
          <w:rPr>
            <w:rStyle w:val="Hipervnculo"/>
            <w:b/>
            <w:bCs/>
          </w:rPr>
          <w:t>Editor</w:t>
        </w:r>
      </w:hyperlink>
    </w:p>
    <w:p w14:paraId="0F4593DB" w14:textId="043760C4" w:rsidR="00F53E93" w:rsidRPr="00F53E93" w:rsidRDefault="00F53E93" w:rsidP="00F53E93">
      <w:pPr>
        <w:jc w:val="both"/>
      </w:pPr>
      <w:r w:rsidRPr="00F53E93">
        <w:t>A principios de este mes, la Autoridad Europea de Valores y Mercados (ESMA) publicó un Informe final sobre las Directrices sobre la aplicación de la información de sostenibilidad (GLESI) y una Declaración pública sobre la aplicación inicial de las Normas europeas de información sobre sostenibilidad (ESRS).</w:t>
      </w:r>
      <w:r w:rsidR="00354B78">
        <w:t xml:space="preserve"> </w:t>
      </w:r>
      <w:r w:rsidRPr="00F53E93">
        <w:t>Estos documentos, publicados el 5 de julio, tienen como objetivo impulsar la aplicación y supervisión coherentes de los requisitos de presentación de informes de sostenibilidad en toda la UE.</w:t>
      </w:r>
    </w:p>
    <w:p w14:paraId="7B45F5EC" w14:textId="77777777" w:rsidR="00F53E93" w:rsidRPr="00F53E93" w:rsidRDefault="00F53E93" w:rsidP="00F53E93">
      <w:pPr>
        <w:jc w:val="both"/>
      </w:pPr>
      <w:r w:rsidRPr="00F53E93">
        <w:t>La GLESI ofrece un enfoque estructurado para la supervisión de la información de sostenibilidad divulgada por los emisores que cotizan en los mercados regulados de la UE. Se ajusta a las directrices de la ESMA sobre el cumplimiento de la obligación de informar sobre cuestiones financieras (GLEFI), que ya llevan mucho tiempo en vigor, y adapta sus principios a las particularidades de la presentación de informes de sostenibilidad. Esta alineación garantiza que la obligación de informar sobre cuestiones de sostenibilidad sea coherente con la obligación de informar sobre cuestiones financieras, promoviendo la igualdad de condiciones para todos los emisores.</w:t>
      </w:r>
    </w:p>
    <w:p w14:paraId="45F855DF" w14:textId="77777777" w:rsidR="00F53E93" w:rsidRPr="00F53E93" w:rsidRDefault="00F53E93" w:rsidP="00F53E93">
      <w:pPr>
        <w:jc w:val="both"/>
      </w:pPr>
      <w:r w:rsidRPr="00F53E93">
        <w:t xml:space="preserve">La GLESI también tiene como objetivo fomentar la convergencia en las prácticas de supervisión de los informes de sostenibilidad entre las autoridades nacionales de la UE, proporcionando una orientación esencial para la aplicación de la normativa. La GLESI incluye 22 directrices en seis áreas, como la organización interna de los responsables de la aplicación de la normativa, la selección, el examen y las acciones de aplicación de la normativa, lo que garantiza un enfoque integral de la </w:t>
      </w:r>
      <w:r w:rsidRPr="00F53E93">
        <w:lastRenderedPageBreak/>
        <w:t>supervisión. La ESMA tiene previsto traducir estas directrices a todos los idiomas de la UE para favorecer su adopción generalizada.</w:t>
      </w:r>
    </w:p>
    <w:p w14:paraId="63031EA8" w14:textId="77777777" w:rsidR="00F53E93" w:rsidRPr="00F53E93" w:rsidRDefault="00F53E93" w:rsidP="00F53E93">
      <w:pPr>
        <w:jc w:val="both"/>
      </w:pPr>
      <w:r w:rsidRPr="00F53E93">
        <w:t>Mientras tanto, la Declaración Pública de la ESMA sobre la primera aplicación del ESRS proporciona orientación específica para las grandes entidades de interés público que estarán entre las primeras en publicar declaraciones de sostenibilidad en virtud del ESRS a partir de 2025. La declaración destaca varias áreas críticas para garantizar la presentación de informes de sostenibilidad de alta calidad y conformes con las normas, incluidos la gobernanza y los controles, la doble materialidad, las exenciones transitorias, la presentación de informes preparados para la digitalización y la conectividad entre la información financiera y la de sostenibilidad. La ESMA también enfatiza la importancia de la educación continua y el uso de recursos de capacitación para la implementación exitosa del ESRS.</w:t>
      </w:r>
    </w:p>
    <w:p w14:paraId="09BBFA49" w14:textId="77777777" w:rsidR="00F53E93" w:rsidRPr="00F53E93" w:rsidRDefault="00F53E93" w:rsidP="00F53E93">
      <w:pPr>
        <w:jc w:val="both"/>
      </w:pPr>
      <w:r w:rsidRPr="00F53E93">
        <w:t>Estas medidas forman parte de la estrategia más amplia de la ESMA, que hace hincapié en la promoción de los mercados de capitales de la UE como centro de financiación verde y en la mejora de la coherencia de la supervisión en toda la UE. La agencia tiene previsto publicar sus prioridades comunes europeas de aplicación de la normativa para el próximo periodo de presentación de informes a finales de 2024, que incluirán un enfoque en la presentación de informes sobre sostenibilidad.</w:t>
      </w:r>
    </w:p>
    <w:p w14:paraId="0B7D818A" w14:textId="59C25532" w:rsidR="00F53E93" w:rsidRPr="00F53E93" w:rsidRDefault="00F53E93" w:rsidP="00F53E93">
      <w:pPr>
        <w:jc w:val="both"/>
      </w:pPr>
      <w:r w:rsidRPr="00F53E93">
        <w:t>Para profundizar en estas nuevas medidas, encuentre la Declaración Pública y GLESI</w:t>
      </w:r>
      <w:r w:rsidR="00354B78">
        <w:t xml:space="preserve"> </w:t>
      </w:r>
      <w:hyperlink r:id="rId7" w:tgtFrame="_blank" w:history="1">
        <w:r w:rsidRPr="00F53E93">
          <w:rPr>
            <w:rStyle w:val="Hipervnculo"/>
          </w:rPr>
          <w:t>aquí</w:t>
        </w:r>
      </w:hyperlink>
      <w:r w:rsidRPr="00F53E93">
        <w:t>.</w:t>
      </w:r>
    </w:p>
    <w:p w14:paraId="68DF3564" w14:textId="03F69B2C" w:rsidR="00F53E93" w:rsidRPr="00F53E93" w:rsidRDefault="00A8348F" w:rsidP="00F53E93">
      <w:pPr>
        <w:jc w:val="both"/>
      </w:pPr>
      <w:hyperlink r:id="rId8" w:history="1">
        <w:r w:rsidR="00F53E93" w:rsidRPr="00F53E93">
          <w:rPr>
            <w:rStyle w:val="Hipervnculo"/>
          </w:rPr>
          <w:t>APLICACIÓN</w:t>
        </w:r>
      </w:hyperlink>
      <w:r w:rsidR="00354B78">
        <w:t xml:space="preserve"> </w:t>
      </w:r>
      <w:hyperlink r:id="rId9" w:history="1">
        <w:r w:rsidR="00F53E93" w:rsidRPr="00F53E93">
          <w:rPr>
            <w:rStyle w:val="Hipervnculo"/>
          </w:rPr>
          <w:t>DE LA ESMA</w:t>
        </w:r>
        <w:r w:rsidR="00354B78">
          <w:rPr>
            <w:rStyle w:val="Hipervnculo"/>
          </w:rPr>
          <w:t xml:space="preserve"> </w:t>
        </w:r>
      </w:hyperlink>
      <w:hyperlink r:id="rId10" w:history="1">
        <w:r w:rsidR="00F53E93" w:rsidRPr="00F53E93">
          <w:rPr>
            <w:rStyle w:val="Hipervnculo"/>
          </w:rPr>
          <w:t>GLESI</w:t>
        </w:r>
      </w:hyperlink>
    </w:p>
    <w:p w14:paraId="4FA78BDD" w14:textId="42F410A7" w:rsidR="004C0984" w:rsidRDefault="004C0984" w:rsidP="00F53E93">
      <w:pPr>
        <w:jc w:val="both"/>
      </w:pPr>
    </w:p>
    <w:p w14:paraId="282FB47B" w14:textId="492B960B" w:rsidR="00F53E93" w:rsidRDefault="00F53E93" w:rsidP="00F53E93">
      <w:pPr>
        <w:jc w:val="both"/>
      </w:pPr>
    </w:p>
    <w:p w14:paraId="28280927" w14:textId="22F3D8E3" w:rsidR="00F53E93" w:rsidRDefault="00F53E93" w:rsidP="00F53E93">
      <w:pPr>
        <w:jc w:val="both"/>
      </w:pPr>
    </w:p>
    <w:p w14:paraId="7FD44D62" w14:textId="0EA9AF67" w:rsidR="00F53E93" w:rsidRDefault="00F53E93" w:rsidP="00F53E93">
      <w:pPr>
        <w:jc w:val="both"/>
      </w:pPr>
    </w:p>
    <w:p w14:paraId="1EBAAD34" w14:textId="6F82A6BF" w:rsidR="00F53E93" w:rsidRDefault="00F53E93" w:rsidP="00F53E93">
      <w:pPr>
        <w:jc w:val="both"/>
      </w:pPr>
    </w:p>
    <w:p w14:paraId="0243F04A" w14:textId="036606F3" w:rsidR="00F53E93" w:rsidRDefault="00F53E93" w:rsidP="00F53E93">
      <w:pPr>
        <w:jc w:val="both"/>
      </w:pPr>
    </w:p>
    <w:p w14:paraId="7C25575E" w14:textId="3F959FBC" w:rsidR="00F53E93" w:rsidRDefault="00F53E93" w:rsidP="00F53E93">
      <w:pPr>
        <w:jc w:val="both"/>
      </w:pPr>
    </w:p>
    <w:p w14:paraId="6A1DBDE5" w14:textId="120AE8CA" w:rsidR="00F53E93" w:rsidRDefault="00F53E93" w:rsidP="00F53E93">
      <w:pPr>
        <w:jc w:val="both"/>
      </w:pPr>
    </w:p>
    <w:p w14:paraId="479144C1" w14:textId="2B0782DF" w:rsidR="00F53E93" w:rsidRDefault="00F53E93" w:rsidP="00F53E93">
      <w:pPr>
        <w:jc w:val="both"/>
      </w:pPr>
    </w:p>
    <w:p w14:paraId="5A3467EC" w14:textId="2783AA71" w:rsidR="00F53E93" w:rsidRDefault="00F53E93" w:rsidP="00F53E93">
      <w:pPr>
        <w:jc w:val="both"/>
      </w:pPr>
    </w:p>
    <w:p w14:paraId="012E8580" w14:textId="1B324433" w:rsidR="00F53E93" w:rsidRDefault="00F53E93" w:rsidP="00F53E93">
      <w:pPr>
        <w:jc w:val="both"/>
      </w:pPr>
    </w:p>
    <w:p w14:paraId="726F179D" w14:textId="2AE9DFFE" w:rsidR="00A8348F" w:rsidRDefault="00A8348F" w:rsidP="00F53E93">
      <w:pPr>
        <w:jc w:val="both"/>
      </w:pPr>
    </w:p>
    <w:p w14:paraId="6942D3C9" w14:textId="77777777" w:rsidR="00A8348F" w:rsidRDefault="00A8348F" w:rsidP="00F53E93">
      <w:pPr>
        <w:jc w:val="both"/>
      </w:pPr>
    </w:p>
    <w:p w14:paraId="303825C4" w14:textId="750D8F11" w:rsidR="00F53E93" w:rsidRDefault="00F53E93" w:rsidP="00F53E93">
      <w:pPr>
        <w:jc w:val="both"/>
      </w:pPr>
    </w:p>
    <w:p w14:paraId="5926FF46" w14:textId="1AF0DB02" w:rsidR="00F53E93" w:rsidRDefault="00F53E93" w:rsidP="00F53E93">
      <w:pPr>
        <w:jc w:val="both"/>
      </w:pPr>
      <w:r w:rsidRPr="00F53E93">
        <w:rPr>
          <w:noProof/>
        </w:rPr>
        <w:lastRenderedPageBreak/>
        <w:drawing>
          <wp:inline distT="0" distB="0" distL="0" distR="0" wp14:anchorId="250EA3E2" wp14:editId="42BD55FE">
            <wp:extent cx="5612130" cy="641985"/>
            <wp:effectExtent l="0" t="0" r="762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641985"/>
                    </a:xfrm>
                    <a:prstGeom prst="rect">
                      <a:avLst/>
                    </a:prstGeom>
                  </pic:spPr>
                </pic:pic>
              </a:graphicData>
            </a:graphic>
          </wp:inline>
        </w:drawing>
      </w:r>
    </w:p>
    <w:p w14:paraId="22997AB7" w14:textId="77777777" w:rsidR="00F53E93" w:rsidRPr="00A8348F" w:rsidRDefault="00A8348F" w:rsidP="00F53E93">
      <w:pPr>
        <w:jc w:val="both"/>
      </w:pPr>
      <w:hyperlink r:id="rId12" w:history="1">
        <w:r w:rsidR="00F53E93" w:rsidRPr="00A8348F">
          <w:rPr>
            <w:rStyle w:val="Hipervnculo"/>
          </w:rPr>
          <w:t>La ESMA propone medidas para apoyar la presentación de informes de sostenibilidad corporativa</w:t>
        </w:r>
      </w:hyperlink>
    </w:p>
    <w:p w14:paraId="750580B7" w14:textId="77777777" w:rsidR="00F53E93" w:rsidRPr="00F53E93" w:rsidRDefault="00A8348F" w:rsidP="00F53E93">
      <w:pPr>
        <w:jc w:val="both"/>
      </w:pPr>
      <w:hyperlink r:id="rId13" w:history="1">
        <w:r w:rsidR="00F53E93" w:rsidRPr="00F53E93">
          <w:rPr>
            <w:rStyle w:val="Hipervnculo"/>
          </w:rPr>
          <w:t>FINANZAS SOSTENIBLES</w:t>
        </w:r>
      </w:hyperlink>
    </w:p>
    <w:p w14:paraId="6F27DC32" w14:textId="77777777" w:rsidR="00F53E93" w:rsidRPr="00F53E93" w:rsidRDefault="00F53E93" w:rsidP="00F53E93">
      <w:pPr>
        <w:jc w:val="both"/>
      </w:pPr>
      <w:r w:rsidRPr="00F53E93">
        <w:t>07/05/2024</w:t>
      </w:r>
    </w:p>
    <w:p w14:paraId="673763C5" w14:textId="51D7BEF9" w:rsidR="00F53E93" w:rsidRPr="00F53E93" w:rsidRDefault="00F53E93" w:rsidP="00F53E93">
      <w:pPr>
        <w:jc w:val="both"/>
      </w:pPr>
      <w:r w:rsidRPr="00F53E93">
        <w:t>La Autoridad Europea de Valores y Mercados (ESMA), el regulador y supervisor de los mercados financieros de la UE, ha publicado hoy un</w:t>
      </w:r>
      <w:r w:rsidR="00354B78">
        <w:t xml:space="preserve"> </w:t>
      </w:r>
      <w:hyperlink r:id="rId14" w:history="1">
        <w:r w:rsidRPr="00F53E93">
          <w:rPr>
            <w:rStyle w:val="Hipervnculo"/>
          </w:rPr>
          <w:t>Informe final sobre las Directrices para la aplicación de la información sobre sostenibilidad (GLESI, por sus siglas en inglés)</w:t>
        </w:r>
      </w:hyperlink>
      <w:r w:rsidR="00354B78">
        <w:t xml:space="preserve"> </w:t>
      </w:r>
      <w:r w:rsidRPr="00F53E93">
        <w:t>y una</w:t>
      </w:r>
      <w:r w:rsidR="00354B78">
        <w:t xml:space="preserve"> </w:t>
      </w:r>
      <w:hyperlink r:id="rId15" w:history="1">
        <w:r w:rsidRPr="00F53E93">
          <w:rPr>
            <w:rStyle w:val="Hipervnculo"/>
          </w:rPr>
          <w:t>Declaración pública sobre la primera aplicación de las Normas europeas de presentación de informes sobre sostenibilidad (ESRS, por sus siglas en inglés)</w:t>
        </w:r>
      </w:hyperlink>
      <w:r w:rsidRPr="00F53E93">
        <w:t>. Estos documentos respaldarán la aplicación y supervisión coherentes de los requisitos de presentación de informes sobre sostenibilidad.</w:t>
      </w:r>
    </w:p>
    <w:p w14:paraId="52FB7546" w14:textId="55E7F43D" w:rsidR="00F53E93" w:rsidRPr="00F53E93" w:rsidRDefault="00F53E93" w:rsidP="00F53E93">
      <w:pPr>
        <w:jc w:val="both"/>
      </w:pPr>
      <w:r w:rsidRPr="00F53E93">
        <w:t>El objetivo de la GLESI es proporcionar orientación para generar convergencia en las prácticas de supervisión sobre informes de sostenibilidad. Vea el video explicativo</w:t>
      </w:r>
      <w:r w:rsidR="00354B78">
        <w:t xml:space="preserve"> </w:t>
      </w:r>
      <w:hyperlink r:id="rId16" w:history="1">
        <w:r w:rsidRPr="00F53E93">
          <w:rPr>
            <w:rStyle w:val="Hipervnculo"/>
          </w:rPr>
          <w:t>aquí</w:t>
        </w:r>
      </w:hyperlink>
      <w:r w:rsidRPr="00F53E93">
        <w:t>. A través de la Declaración pública sobre la primera aplicación del ESRS, la ESMA pretende ayudar a los grandes emisores a atravesar la curva de aprendizaje asociada con la implementación de estos nuevos requisitos de informes. Vea las imágenes</w:t>
      </w:r>
      <w:r w:rsidR="00354B78">
        <w:t xml:space="preserve"> </w:t>
      </w:r>
      <w:hyperlink r:id="rId17" w:history="1">
        <w:r w:rsidRPr="00F53E93">
          <w:rPr>
            <w:rStyle w:val="Hipervnculo"/>
          </w:rPr>
          <w:t>aquí</w:t>
        </w:r>
      </w:hyperlink>
      <w:r w:rsidRPr="00F53E93">
        <w:t>.</w:t>
      </w:r>
    </w:p>
    <w:p w14:paraId="13CEF02D" w14:textId="71CA98B8" w:rsidR="00F53E93" w:rsidRPr="00F53E93" w:rsidRDefault="00F53E93" w:rsidP="00F53E93">
      <w:pPr>
        <w:jc w:val="both"/>
      </w:pPr>
      <w:r w:rsidRPr="00F53E93">
        <w:t>Las directrices y la declaración publicadas hoy están en línea con las recomendaciones propuestas en el</w:t>
      </w:r>
      <w:r w:rsidR="00354B78">
        <w:t xml:space="preserve"> </w:t>
      </w:r>
      <w:hyperlink r:id="rId18" w:history="1">
        <w:r w:rsidRPr="00F53E93">
          <w:rPr>
            <w:rStyle w:val="Hipervnculo"/>
          </w:rPr>
          <w:t>Documento de posición de la ESMA</w:t>
        </w:r>
      </w:hyperlink>
      <w:r w:rsidR="00354B78">
        <w:t xml:space="preserve"> </w:t>
      </w:r>
      <w:r w:rsidRPr="00F53E93">
        <w:t>publicado recientemente “Construir mercados de capitales más efectivos y atractivos en la UE”, a saber:</w:t>
      </w:r>
    </w:p>
    <w:p w14:paraId="04E0977D" w14:textId="0451B4A5" w:rsidR="00F53E93" w:rsidRPr="00F53E93" w:rsidRDefault="00F53E93" w:rsidP="00F53E93">
      <w:pPr>
        <w:numPr>
          <w:ilvl w:val="0"/>
          <w:numId w:val="1"/>
        </w:numPr>
        <w:jc w:val="both"/>
      </w:pPr>
      <w:r w:rsidRPr="00F53E93">
        <w:rPr>
          <w:i/>
          <w:iCs/>
        </w:rPr>
        <w:t>promover los mercados de capital de la UE como centro de financiación verde</w:t>
      </w:r>
      <w:r w:rsidRPr="00F53E93">
        <w:t> – esto debería incluir esfuerzos para aclarar la divulgación de información de sostenibilidad para facilitar la comprensión por parte de los inversores, también mediante el uso de etiquetas/categorías de sostenibilidad según sea necesario; reducir la complejidad y mejorar la claridad para la industria también puede servir para aliviar las cargas de cumplimiento; y</w:t>
      </w:r>
    </w:p>
    <w:p w14:paraId="37203F2C" w14:textId="0AAB27FE" w:rsidR="00F53E93" w:rsidRPr="00F53E93" w:rsidRDefault="00F53E93" w:rsidP="00F53E93">
      <w:pPr>
        <w:numPr>
          <w:ilvl w:val="0"/>
          <w:numId w:val="2"/>
        </w:numPr>
        <w:jc w:val="both"/>
      </w:pPr>
      <w:r w:rsidRPr="00F53E93">
        <w:rPr>
          <w:i/>
          <w:iCs/>
        </w:rPr>
        <w:t>Mejorar la coherencia de la supervisión entre las autoridades nacionales de la UE</w:t>
      </w:r>
      <w:r w:rsidRPr="00F53E93">
        <w:t>: promover resultados de ejecución armonizados mediante una mayor cooperación y convergencia</w:t>
      </w:r>
    </w:p>
    <w:p w14:paraId="6B244DA1" w14:textId="59715C2A" w:rsidR="00F53E93" w:rsidRPr="00F53E93" w:rsidRDefault="00F53E93" w:rsidP="00F53E93">
      <w:pPr>
        <w:jc w:val="both"/>
      </w:pPr>
      <w:r w:rsidRPr="00F53E93">
        <w:rPr>
          <w:b/>
          <w:bCs/>
        </w:rPr>
        <w:t>Próximos pasos</w:t>
      </w:r>
    </w:p>
    <w:p w14:paraId="6AC300BD" w14:textId="6CE99A16" w:rsidR="00F53E93" w:rsidRPr="00F53E93" w:rsidRDefault="00F53E93" w:rsidP="00F53E93">
      <w:pPr>
        <w:jc w:val="both"/>
      </w:pPr>
      <w:r w:rsidRPr="00F53E93">
        <w:t>La ESMA seguirá supervisando las prácticas de presentación de informes de sostenibilidad en 2025, así como la aplicación de la GLESI. La ESMA traducirá la GLESI a todos los idiomas de la UE y publicará estas traducciones en su sitio web.</w:t>
      </w:r>
    </w:p>
    <w:p w14:paraId="56003830" w14:textId="77777777" w:rsidR="00F53E93" w:rsidRPr="00F53E93" w:rsidRDefault="00F53E93" w:rsidP="00F53E93">
      <w:pPr>
        <w:jc w:val="both"/>
      </w:pPr>
      <w:r w:rsidRPr="00F53E93">
        <w:t>Además, la ESMA publicará en el cuarto trimestre recomendaciones en relación con las declaraciones de sostenibilidad de las empresas que cotizan en bolsa en su Declaración pública sobre las prioridades comunes de ejecución europeas para 2024.</w:t>
      </w:r>
    </w:p>
    <w:p w14:paraId="05AA735D" w14:textId="2FD67176" w:rsidR="00F53E93" w:rsidRDefault="00F53E93" w:rsidP="00F53E93">
      <w:pPr>
        <w:jc w:val="both"/>
      </w:pPr>
      <w:r w:rsidRPr="00F53E93">
        <w:rPr>
          <w:noProof/>
        </w:rPr>
        <w:lastRenderedPageBreak/>
        <w:drawing>
          <wp:inline distT="0" distB="0" distL="0" distR="0" wp14:anchorId="1692890F" wp14:editId="0428E499">
            <wp:extent cx="5612130" cy="262001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2620010"/>
                    </a:xfrm>
                    <a:prstGeom prst="rect">
                      <a:avLst/>
                    </a:prstGeom>
                  </pic:spPr>
                </pic:pic>
              </a:graphicData>
            </a:graphic>
          </wp:inline>
        </w:drawing>
      </w:r>
    </w:p>
    <w:p w14:paraId="50CB9854" w14:textId="7498DA65" w:rsidR="00F53E93" w:rsidRDefault="00F53E93" w:rsidP="00F53E93">
      <w:pPr>
        <w:jc w:val="both"/>
      </w:pPr>
    </w:p>
    <w:p w14:paraId="0B6A612A" w14:textId="77777777" w:rsidR="003A5AD8" w:rsidRPr="00A8348F" w:rsidRDefault="003A5AD8" w:rsidP="00F00034">
      <w:pPr>
        <w:jc w:val="both"/>
        <w:rPr>
          <w:sz w:val="28"/>
          <w:szCs w:val="28"/>
        </w:rPr>
      </w:pPr>
      <w:r w:rsidRPr="00A8348F">
        <w:rPr>
          <w:sz w:val="28"/>
          <w:szCs w:val="28"/>
        </w:rPr>
        <w:t xml:space="preserve">1. Resumen ejecutivo </w:t>
      </w:r>
    </w:p>
    <w:p w14:paraId="0B1E3CF0" w14:textId="77777777" w:rsidR="003A5AD8" w:rsidRPr="00A8348F" w:rsidRDefault="003A5AD8" w:rsidP="00F00034">
      <w:pPr>
        <w:jc w:val="both"/>
        <w:rPr>
          <w:sz w:val="24"/>
          <w:szCs w:val="24"/>
        </w:rPr>
      </w:pPr>
      <w:r w:rsidRPr="00A8348F">
        <w:rPr>
          <w:sz w:val="24"/>
          <w:szCs w:val="24"/>
        </w:rPr>
        <w:t>Motivos de publicación</w:t>
      </w:r>
    </w:p>
    <w:p w14:paraId="2F355EA0" w14:textId="77777777" w:rsidR="003A5AD8" w:rsidRPr="003A5AD8" w:rsidRDefault="003A5AD8" w:rsidP="00140455">
      <w:pPr>
        <w:jc w:val="both"/>
      </w:pPr>
      <w:r w:rsidRPr="00E5651B">
        <w:t>La Directiva sobre información corporativa en materia de sostenibilidad, publicada en el Diario Oficial de la Unión Europea el 16 de diciembre de 2022, amplía el ámbito de aplicación de las empresas que deben presentar información en materia de sostenibilidad y exige a la Comisión Europea que adopte normas europeas obligatorias de presentación de información en materia de sostenibilidad como actos delegados. Con el fin de promover la supervisión convergente de la información en materia de sostenibilidad por parte de los emisores sujetos a la Directiva sobre transparencia, la CSRD encomienda a la AEVM que emita directrices sobre la supervisión de la información en materia de sostenibilidad por parte de las autoridades nacionales competentes.</w:t>
      </w:r>
    </w:p>
    <w:p w14:paraId="71EFF23A" w14:textId="77777777" w:rsidR="003A5AD8" w:rsidRPr="003A5AD8" w:rsidRDefault="003A5AD8" w:rsidP="007B06B0">
      <w:pPr>
        <w:jc w:val="both"/>
      </w:pPr>
      <w:r w:rsidRPr="00E5651B">
        <w:t>El 15 de diciembre de 2023, de conformidad con el artículo 16, apartado 2, del Reglamento de la AEVM, la AEVM publicó un documento de consulta con un proyecto de directrices propuestas sobre la aplicación de la información en materia de sostenibilidad (GLESI). El periodo de consultas se cerró el 15 de marzo de 2024. La AEVM recibió un total de 16 respuestas, ninguna de ellas confidencial. Estas respuestas incluían, tal y como exige la Directiva sobre transparencia, observaciones solicitadas a la Agencia Europea de Medio Ambiente (AEMA) y a la Agencia de los Derechos Fundamentales de la Unión Europea (FRA). Además, la AEVM también solicitó el asesoramiento del Grupo de Partes Interesadas de Valores y Mercados (SMSG). Todas las respuestas recibidas están disponibles en el sitio web de la AEVM, ya que ninguno de los encuestados solicitó lo contrario. En este Informe Final se resumen las respuestas a la CP y se explica cómo se han tenido en cuenta las respuestas. La AEVM recomienda leer este informe junto con el PC para tener una visión completa de la justificación de las directrices.</w:t>
      </w:r>
    </w:p>
    <w:p w14:paraId="10FFFF81" w14:textId="77777777" w:rsidR="003A5AD8" w:rsidRPr="00A8348F" w:rsidRDefault="003A5AD8" w:rsidP="002C5084">
      <w:pPr>
        <w:jc w:val="both"/>
        <w:rPr>
          <w:sz w:val="24"/>
          <w:szCs w:val="24"/>
        </w:rPr>
      </w:pPr>
      <w:r w:rsidRPr="00A8348F">
        <w:rPr>
          <w:sz w:val="24"/>
          <w:szCs w:val="24"/>
        </w:rPr>
        <w:t>Contenido</w:t>
      </w:r>
    </w:p>
    <w:p w14:paraId="47F9A8F1" w14:textId="77777777" w:rsidR="003A5AD8" w:rsidRPr="003A5AD8" w:rsidRDefault="003A5AD8" w:rsidP="002C5084">
      <w:pPr>
        <w:jc w:val="both"/>
      </w:pPr>
      <w:r w:rsidRPr="00E5651B">
        <w:t xml:space="preserve">En el cuerpo principal de este informe final (sección 2) se resumen los comentarios recibidos en la consulta realizada por la AEVM y se explica a grandes rasgos cómo se han tenido en cuenta estos </w:t>
      </w:r>
      <w:r w:rsidRPr="00E5651B">
        <w:lastRenderedPageBreak/>
        <w:t>comentarios en la elaboración de las directrices finales. El contenido de las contribuciones individuales y de las observaciones de la AEVM se describe con más detalle en el anexo V.</w:t>
      </w:r>
    </w:p>
    <w:p w14:paraId="4FD2FE6A" w14:textId="77777777" w:rsidR="003A5AD8" w:rsidRPr="003A5AD8" w:rsidRDefault="003A5AD8" w:rsidP="002C5084">
      <w:pPr>
        <w:jc w:val="both"/>
      </w:pPr>
      <w:r w:rsidRPr="00E5651B">
        <w:t>Además, los anexos presentan el análisis de costes y beneficios relacionado con las directrices, el dictamen del SMSG, la AEMA y la FRA y el texto completo de las directrices finales.</w:t>
      </w:r>
    </w:p>
    <w:p w14:paraId="045E71C7" w14:textId="77777777" w:rsidR="003A5AD8" w:rsidRPr="00A8348F" w:rsidRDefault="003A5AD8" w:rsidP="00762F14">
      <w:pPr>
        <w:jc w:val="both"/>
        <w:rPr>
          <w:sz w:val="24"/>
          <w:szCs w:val="24"/>
        </w:rPr>
      </w:pPr>
      <w:r w:rsidRPr="00A8348F">
        <w:rPr>
          <w:sz w:val="24"/>
          <w:szCs w:val="24"/>
        </w:rPr>
        <w:t>Próximos pasos</w:t>
      </w:r>
    </w:p>
    <w:p w14:paraId="363F87AE" w14:textId="77777777" w:rsidR="003A5AD8" w:rsidRPr="003A5AD8" w:rsidRDefault="003A5AD8" w:rsidP="00762F14">
      <w:pPr>
        <w:jc w:val="both"/>
      </w:pPr>
      <w:r w:rsidRPr="00E5651B">
        <w:t>Las directrices que figuran en el anexo VI se traducirán a las lenguas oficiales de la UE y se publicarán en el sitio web de la AEVM. La publicación de las traducciones en todas las lenguas oficiales de la UE dará lugar a un período de dos meses durante el cual las ANC deberán notificar a la AEVM si cumplen o tienen intención de cumplir las directrices.</w:t>
      </w:r>
    </w:p>
    <w:p w14:paraId="5E5E673F" w14:textId="65EB0652" w:rsidR="00E5651B" w:rsidRPr="003A5AD8" w:rsidRDefault="00E5651B" w:rsidP="00F53E93">
      <w:pPr>
        <w:jc w:val="both"/>
      </w:pPr>
    </w:p>
    <w:sectPr w:rsidR="00E5651B" w:rsidRPr="003A5A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3733"/>
    <w:multiLevelType w:val="multilevel"/>
    <w:tmpl w:val="CBBC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EF04B6"/>
    <w:multiLevelType w:val="multilevel"/>
    <w:tmpl w:val="E8F4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93"/>
    <w:rsid w:val="00354B78"/>
    <w:rsid w:val="003A5AD8"/>
    <w:rsid w:val="004C0984"/>
    <w:rsid w:val="006C5571"/>
    <w:rsid w:val="00A8348F"/>
    <w:rsid w:val="00BB77D4"/>
    <w:rsid w:val="00E5651B"/>
    <w:rsid w:val="00F53E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DC7E"/>
  <w15:chartTrackingRefBased/>
  <w15:docId w15:val="{D54AA086-588D-4C73-A96F-78020069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53E93"/>
    <w:rPr>
      <w:color w:val="0563C1" w:themeColor="hyperlink"/>
      <w:u w:val="single"/>
    </w:rPr>
  </w:style>
  <w:style w:type="character" w:styleId="Mencinsinresolver">
    <w:name w:val="Unresolved Mention"/>
    <w:basedOn w:val="Fuentedeprrafopredeter"/>
    <w:uiPriority w:val="99"/>
    <w:semiHidden/>
    <w:unhideWhenUsed/>
    <w:rsid w:val="00F53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84086">
      <w:bodyDiv w:val="1"/>
      <w:marLeft w:val="0"/>
      <w:marRight w:val="0"/>
      <w:marTop w:val="0"/>
      <w:marBottom w:val="0"/>
      <w:divBdr>
        <w:top w:val="none" w:sz="0" w:space="0" w:color="auto"/>
        <w:left w:val="none" w:sz="0" w:space="0" w:color="auto"/>
        <w:bottom w:val="none" w:sz="0" w:space="0" w:color="auto"/>
        <w:right w:val="none" w:sz="0" w:space="0" w:color="auto"/>
      </w:divBdr>
      <w:divsChild>
        <w:div w:id="921992211">
          <w:marLeft w:val="0"/>
          <w:marRight w:val="0"/>
          <w:marTop w:val="0"/>
          <w:marBottom w:val="0"/>
          <w:divBdr>
            <w:top w:val="none" w:sz="0" w:space="0" w:color="auto"/>
            <w:left w:val="none" w:sz="0" w:space="0" w:color="auto"/>
            <w:bottom w:val="none" w:sz="0" w:space="0" w:color="auto"/>
            <w:right w:val="none" w:sz="0" w:space="0" w:color="auto"/>
          </w:divBdr>
        </w:div>
        <w:div w:id="518081124">
          <w:marLeft w:val="0"/>
          <w:marRight w:val="0"/>
          <w:marTop w:val="300"/>
          <w:marBottom w:val="300"/>
          <w:divBdr>
            <w:top w:val="none" w:sz="0" w:space="0" w:color="auto"/>
            <w:left w:val="none" w:sz="0" w:space="0" w:color="auto"/>
            <w:bottom w:val="none" w:sz="0" w:space="0" w:color="auto"/>
            <w:right w:val="none" w:sz="0" w:space="0" w:color="auto"/>
          </w:divBdr>
        </w:div>
        <w:div w:id="1650209272">
          <w:marLeft w:val="0"/>
          <w:marRight w:val="0"/>
          <w:marTop w:val="600"/>
          <w:marBottom w:val="0"/>
          <w:divBdr>
            <w:top w:val="none" w:sz="0" w:space="0" w:color="auto"/>
            <w:left w:val="none" w:sz="0" w:space="0" w:color="auto"/>
            <w:bottom w:val="none" w:sz="0" w:space="0" w:color="auto"/>
            <w:right w:val="none" w:sz="0" w:space="0" w:color="auto"/>
          </w:divBdr>
          <w:divsChild>
            <w:div w:id="124662066">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511026203">
      <w:bodyDiv w:val="1"/>
      <w:marLeft w:val="0"/>
      <w:marRight w:val="0"/>
      <w:marTop w:val="0"/>
      <w:marBottom w:val="0"/>
      <w:divBdr>
        <w:top w:val="none" w:sz="0" w:space="0" w:color="auto"/>
        <w:left w:val="none" w:sz="0" w:space="0" w:color="auto"/>
        <w:bottom w:val="none" w:sz="0" w:space="0" w:color="auto"/>
        <w:right w:val="none" w:sz="0" w:space="0" w:color="auto"/>
      </w:divBdr>
      <w:divsChild>
        <w:div w:id="1285384124">
          <w:marLeft w:val="0"/>
          <w:marRight w:val="0"/>
          <w:marTop w:val="0"/>
          <w:marBottom w:val="0"/>
          <w:divBdr>
            <w:top w:val="none" w:sz="0" w:space="0" w:color="auto"/>
            <w:left w:val="none" w:sz="0" w:space="0" w:color="auto"/>
            <w:bottom w:val="none" w:sz="0" w:space="0" w:color="auto"/>
            <w:right w:val="none" w:sz="0" w:space="0" w:color="auto"/>
          </w:divBdr>
          <w:divsChild>
            <w:div w:id="598492297">
              <w:marLeft w:val="0"/>
              <w:marRight w:val="0"/>
              <w:marTop w:val="0"/>
              <w:marBottom w:val="0"/>
              <w:divBdr>
                <w:top w:val="none" w:sz="0" w:space="0" w:color="auto"/>
                <w:left w:val="none" w:sz="0" w:space="0" w:color="auto"/>
                <w:bottom w:val="none" w:sz="0" w:space="0" w:color="auto"/>
                <w:right w:val="none" w:sz="0" w:space="0" w:color="auto"/>
              </w:divBdr>
            </w:div>
          </w:divsChild>
        </w:div>
        <w:div w:id="1175926370">
          <w:marLeft w:val="0"/>
          <w:marRight w:val="0"/>
          <w:marTop w:val="0"/>
          <w:marBottom w:val="0"/>
          <w:divBdr>
            <w:top w:val="none" w:sz="0" w:space="0" w:color="auto"/>
            <w:left w:val="none" w:sz="0" w:space="0" w:color="auto"/>
            <w:bottom w:val="none" w:sz="0" w:space="0" w:color="auto"/>
            <w:right w:val="none" w:sz="0" w:space="0" w:color="auto"/>
          </w:divBdr>
        </w:div>
        <w:div w:id="168641723">
          <w:marLeft w:val="0"/>
          <w:marRight w:val="0"/>
          <w:marTop w:val="0"/>
          <w:marBottom w:val="0"/>
          <w:divBdr>
            <w:top w:val="none" w:sz="0" w:space="0" w:color="auto"/>
            <w:left w:val="none" w:sz="0" w:space="0" w:color="auto"/>
            <w:bottom w:val="none" w:sz="0" w:space="0" w:color="auto"/>
            <w:right w:val="none" w:sz="0" w:space="0" w:color="auto"/>
          </w:divBdr>
          <w:divsChild>
            <w:div w:id="1935356502">
              <w:marLeft w:val="0"/>
              <w:marRight w:val="0"/>
              <w:marTop w:val="0"/>
              <w:marBottom w:val="0"/>
              <w:divBdr>
                <w:top w:val="none" w:sz="0" w:space="0" w:color="auto"/>
                <w:left w:val="none" w:sz="0" w:space="0" w:color="auto"/>
                <w:bottom w:val="none" w:sz="0" w:space="0" w:color="auto"/>
                <w:right w:val="none" w:sz="0" w:space="0" w:color="auto"/>
              </w:divBdr>
            </w:div>
            <w:div w:id="419179961">
              <w:marLeft w:val="0"/>
              <w:marRight w:val="0"/>
              <w:marTop w:val="0"/>
              <w:marBottom w:val="0"/>
              <w:divBdr>
                <w:top w:val="none" w:sz="0" w:space="0" w:color="auto"/>
                <w:left w:val="none" w:sz="0" w:space="0" w:color="auto"/>
                <w:bottom w:val="none" w:sz="0" w:space="0" w:color="auto"/>
                <w:right w:val="none" w:sz="0" w:space="0" w:color="auto"/>
              </w:divBdr>
            </w:div>
            <w:div w:id="1057628412">
              <w:marLeft w:val="0"/>
              <w:marRight w:val="0"/>
              <w:marTop w:val="0"/>
              <w:marBottom w:val="0"/>
              <w:divBdr>
                <w:top w:val="none" w:sz="0" w:space="0" w:color="auto"/>
                <w:left w:val="none" w:sz="0" w:space="0" w:color="auto"/>
                <w:bottom w:val="none" w:sz="0" w:space="0" w:color="auto"/>
                <w:right w:val="none" w:sz="0" w:space="0" w:color="auto"/>
              </w:divBdr>
            </w:div>
            <w:div w:id="75828814">
              <w:marLeft w:val="0"/>
              <w:marRight w:val="0"/>
              <w:marTop w:val="0"/>
              <w:marBottom w:val="0"/>
              <w:divBdr>
                <w:top w:val="none" w:sz="0" w:space="0" w:color="auto"/>
                <w:left w:val="none" w:sz="0" w:space="0" w:color="auto"/>
                <w:bottom w:val="none" w:sz="0" w:space="0" w:color="auto"/>
                <w:right w:val="none" w:sz="0" w:space="0" w:color="auto"/>
              </w:divBdr>
            </w:div>
            <w:div w:id="1174681534">
              <w:marLeft w:val="0"/>
              <w:marRight w:val="0"/>
              <w:marTop w:val="0"/>
              <w:marBottom w:val="0"/>
              <w:divBdr>
                <w:top w:val="none" w:sz="0" w:space="0" w:color="auto"/>
                <w:left w:val="none" w:sz="0" w:space="0" w:color="auto"/>
                <w:bottom w:val="none" w:sz="0" w:space="0" w:color="auto"/>
                <w:right w:val="none" w:sz="0" w:space="0" w:color="auto"/>
              </w:divBdr>
            </w:div>
            <w:div w:id="2050570384">
              <w:marLeft w:val="0"/>
              <w:marRight w:val="0"/>
              <w:marTop w:val="0"/>
              <w:marBottom w:val="0"/>
              <w:divBdr>
                <w:top w:val="none" w:sz="0" w:space="0" w:color="auto"/>
                <w:left w:val="none" w:sz="0" w:space="0" w:color="auto"/>
                <w:bottom w:val="none" w:sz="0" w:space="0" w:color="auto"/>
                <w:right w:val="none" w:sz="0" w:space="0" w:color="auto"/>
              </w:divBdr>
            </w:div>
            <w:div w:id="19879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49946">
      <w:bodyDiv w:val="1"/>
      <w:marLeft w:val="0"/>
      <w:marRight w:val="0"/>
      <w:marTop w:val="0"/>
      <w:marBottom w:val="0"/>
      <w:divBdr>
        <w:top w:val="none" w:sz="0" w:space="0" w:color="auto"/>
        <w:left w:val="none" w:sz="0" w:space="0" w:color="auto"/>
        <w:bottom w:val="none" w:sz="0" w:space="0" w:color="auto"/>
        <w:right w:val="none" w:sz="0" w:space="0" w:color="auto"/>
      </w:divBdr>
      <w:divsChild>
        <w:div w:id="902564751">
          <w:marLeft w:val="0"/>
          <w:marRight w:val="0"/>
          <w:marTop w:val="0"/>
          <w:marBottom w:val="0"/>
          <w:divBdr>
            <w:top w:val="none" w:sz="0" w:space="0" w:color="auto"/>
            <w:left w:val="none" w:sz="0" w:space="0" w:color="auto"/>
            <w:bottom w:val="none" w:sz="0" w:space="0" w:color="auto"/>
            <w:right w:val="none" w:sz="0" w:space="0" w:color="auto"/>
          </w:divBdr>
        </w:div>
        <w:div w:id="94715414">
          <w:marLeft w:val="0"/>
          <w:marRight w:val="0"/>
          <w:marTop w:val="300"/>
          <w:marBottom w:val="300"/>
          <w:divBdr>
            <w:top w:val="none" w:sz="0" w:space="0" w:color="auto"/>
            <w:left w:val="none" w:sz="0" w:space="0" w:color="auto"/>
            <w:bottom w:val="none" w:sz="0" w:space="0" w:color="auto"/>
            <w:right w:val="none" w:sz="0" w:space="0" w:color="auto"/>
          </w:divBdr>
        </w:div>
        <w:div w:id="933979309">
          <w:marLeft w:val="0"/>
          <w:marRight w:val="0"/>
          <w:marTop w:val="600"/>
          <w:marBottom w:val="0"/>
          <w:divBdr>
            <w:top w:val="none" w:sz="0" w:space="0" w:color="auto"/>
            <w:left w:val="none" w:sz="0" w:space="0" w:color="auto"/>
            <w:bottom w:val="none" w:sz="0" w:space="0" w:color="auto"/>
            <w:right w:val="none" w:sz="0" w:space="0" w:color="auto"/>
          </w:divBdr>
          <w:divsChild>
            <w:div w:id="1622809830">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enforcement/" TargetMode="External"/><Relationship Id="rId13" Type="http://schemas.openxmlformats.org/officeDocument/2006/relationships/hyperlink" Target="https://www.esma.europa.eu/press-news/esma-news?tid%5B0%5D=1295" TargetMode="External"/><Relationship Id="rId18" Type="http://schemas.openxmlformats.org/officeDocument/2006/relationships/hyperlink" Target="https://www.esma.europa.eu/sites/default/files/2024-05/ESMA24-450544452-2130_Position_paper_Building_more_effective_and_attractive_capital_markets_in_the_EU.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sma.europa.eu/press-news/esma-news/esma-puts-forward-measures-support-corporate-sustainability-reporting" TargetMode="External"/><Relationship Id="rId12" Type="http://schemas.openxmlformats.org/officeDocument/2006/relationships/hyperlink" Target="https://www.esma.europa.eu/press-news/esma-news/esma-puts-forward-measures-support-corporate-sustainability-reporting" TargetMode="External"/><Relationship Id="rId17" Type="http://schemas.openxmlformats.org/officeDocument/2006/relationships/hyperlink" Target="https://www.esma.europa.eu/sites/default/files/2024-07/GLESI_visuals.pdf" TargetMode="External"/><Relationship Id="rId2" Type="http://schemas.openxmlformats.org/officeDocument/2006/relationships/styles" Target="styles.xml"/><Relationship Id="rId16" Type="http://schemas.openxmlformats.org/officeDocument/2006/relationships/hyperlink" Target="https://www.esma.europa.eu/sites/default/files/2024-07/GLESI_video.mp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xbrl.org/news/esma-bolsters-corporate-sustainability-reporting-with-new-guidelines/"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hyperlink" Target="https://www.esma.europa.eu/sites/default/files/2024-07/ESMA32-992851010-1597_-_ESRS_Statement.pdf" TargetMode="External"/><Relationship Id="rId10" Type="http://schemas.openxmlformats.org/officeDocument/2006/relationships/hyperlink" Target="https://www.xbrl.org/tag/glesi/"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xbrl.org/tag/esma/" TargetMode="External"/><Relationship Id="rId14" Type="http://schemas.openxmlformats.org/officeDocument/2006/relationships/hyperlink" Target="https://www.esma.europa.eu/sites/default/files/2024-07/ESMA32-992851010-1600_Final_Report_on_Guidelines_on_Enforcement_of_Sustainability_Information_GLESI.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1526</Words>
  <Characters>8393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6</cp:revision>
  <dcterms:created xsi:type="dcterms:W3CDTF">2024-07-16T17:36:00Z</dcterms:created>
  <dcterms:modified xsi:type="dcterms:W3CDTF">2024-07-23T01:56:00Z</dcterms:modified>
</cp:coreProperties>
</file>