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5F596" w14:textId="77777777" w:rsidR="002F59D7" w:rsidRPr="002F59D7" w:rsidRDefault="002F59D7" w:rsidP="002F59D7">
      <w:pPr>
        <w:jc w:val="both"/>
        <w:rPr>
          <w:rFonts w:ascii="Arial Nova Cond" w:hAnsi="Arial Nova Cond"/>
          <w:sz w:val="28"/>
          <w:szCs w:val="28"/>
        </w:rPr>
      </w:pPr>
      <w:r w:rsidRPr="002F59D7">
        <w:rPr>
          <w:rFonts w:ascii="Arial Nova Cond" w:hAnsi="Arial Nova Cond"/>
          <w:sz w:val="28"/>
          <w:szCs w:val="28"/>
        </w:rPr>
        <w:t>La SEC responde a la nueva norma NIIF 19</w:t>
      </w:r>
    </w:p>
    <w:p w14:paraId="54B38B34" w14:textId="69EF0010" w:rsidR="002F59D7" w:rsidRPr="002F59D7" w:rsidRDefault="002F59D7" w:rsidP="002F59D7">
      <w:pPr>
        <w:jc w:val="both"/>
      </w:pPr>
      <w:r w:rsidRPr="002F59D7">
        <w:rPr>
          <w:noProof/>
        </w:rPr>
        <w:drawing>
          <wp:inline distT="0" distB="0" distL="0" distR="0" wp14:anchorId="3FD59FF3" wp14:editId="610A79C9">
            <wp:extent cx="5612130" cy="374142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20C85916" w14:textId="77777777" w:rsidR="0079107B" w:rsidRPr="002F59D7" w:rsidRDefault="0079107B" w:rsidP="0079107B">
      <w:pPr>
        <w:jc w:val="both"/>
      </w:pPr>
      <w:r w:rsidRPr="002F59D7">
        <w:t>Publicado el 25 de mayo de 2024 por</w:t>
      </w:r>
      <w:r>
        <w:t xml:space="preserve"> </w:t>
      </w:r>
      <w:hyperlink r:id="rId5" w:history="1">
        <w:r w:rsidRPr="002F59D7">
          <w:rPr>
            <w:rStyle w:val="Hipervnculo"/>
            <w:b/>
            <w:bCs/>
          </w:rPr>
          <w:t>Editor</w:t>
        </w:r>
      </w:hyperlink>
    </w:p>
    <w:p w14:paraId="06F02010" w14:textId="31A39948" w:rsidR="002F59D7" w:rsidRPr="002F59D7" w:rsidRDefault="002F59D7" w:rsidP="002F59D7">
      <w:pPr>
        <w:jc w:val="both"/>
      </w:pPr>
      <w:r w:rsidRPr="002F59D7">
        <w:t>La semana pasada, la Comisión de Bolsa y Valores de Estados Unidos (SEC) emitió una declaración sobre la aplicación de la Norma Internacional de Información Financiera (NIIF) 19, Subsidiarias sin Responsabilidad Pública: Divulgaciones. La orientación de la SEC surge en respuesta a la</w:t>
      </w:r>
      <w:r w:rsidR="0079107B">
        <w:t xml:space="preserve"> </w:t>
      </w:r>
      <w:hyperlink r:id="rId6" w:tgtFrame="_blank" w:history="1">
        <w:r w:rsidRPr="002F59D7">
          <w:rPr>
            <w:rStyle w:val="Hipervnculo"/>
          </w:rPr>
          <w:t>reciente publicación</w:t>
        </w:r>
      </w:hyperlink>
      <w:r w:rsidR="0079107B">
        <w:t xml:space="preserve"> </w:t>
      </w:r>
      <w:r w:rsidRPr="002F59D7">
        <w:t>de la NIIF 19 por parte del Consejo de Normas Internacionales de Contabilidad (IASB).</w:t>
      </w:r>
    </w:p>
    <w:p w14:paraId="450AB4F1" w14:textId="747A356A" w:rsidR="002F59D7" w:rsidRPr="002F59D7" w:rsidRDefault="002F59D7" w:rsidP="002F59D7">
      <w:pPr>
        <w:jc w:val="both"/>
      </w:pPr>
      <w:r w:rsidRPr="002F59D7">
        <w:t xml:space="preserve">La NIIF 19 permite que ciertas subsidiarias proporcionen revelaciones reducidas sin dejar de cumplir con los requisitos de las NIIF. Sin embargo, la SEC enfatizó </w:t>
      </w:r>
      <w:r w:rsidR="0079107B" w:rsidRPr="002F59D7">
        <w:t>que,</w:t>
      </w:r>
      <w:r w:rsidRPr="002F59D7">
        <w:t xml:space="preserve"> en las presentaciones ante la SEC, estas subsidiarias podrían necesitar proporcionar divulgaciones adicionales para garantizar que los inversionistas reciban información adecuada para tomar decisiones informadas. Este requisito surge del principio de que los estados financieros no deben ser engañosos, lo que da como resultado el requisito de revelaciones integrales.</w:t>
      </w:r>
    </w:p>
    <w:p w14:paraId="46CC650E" w14:textId="77777777" w:rsidR="002F59D7" w:rsidRPr="002F59D7" w:rsidRDefault="002F59D7" w:rsidP="002F59D7">
      <w:pPr>
        <w:jc w:val="both"/>
      </w:pPr>
      <w:r w:rsidRPr="002F59D7">
        <w:t>Históricamente, la SEC ha apoyado iniciativas para reducir las cargas regulatorias sobre los emisores privados extranjeros manteniendo al mismo tiempo la protección de los inversores. La NIIF 19 del IASB tiene como objetivo simplificar la presentación de informes para las subsidiarias sin responsabilidad pública, ofreciendo eficiencia y al mismo tiempo preservando información útil para la toma de decisiones. La SEC reconoce este esfuerzo, pero subraya que una divulgación suficiente para entidades no públicas podría no satisfacer las necesidades de los inversores estadounidenses, especialmente en contextos como las fusiones que involucran a emisores privados extranjeros.</w:t>
      </w:r>
    </w:p>
    <w:p w14:paraId="2A4DAC52" w14:textId="1C67E2B2" w:rsidR="002F59D7" w:rsidRPr="002F59D7" w:rsidRDefault="002F59D7" w:rsidP="002F59D7">
      <w:pPr>
        <w:jc w:val="both"/>
      </w:pPr>
      <w:r w:rsidRPr="002F59D7">
        <w:t>Para obtener más detalles sobre la respuesta de la SEC a la NIIF 19, visite su declaración oficial</w:t>
      </w:r>
      <w:r w:rsidR="0079107B">
        <w:t xml:space="preserve"> </w:t>
      </w:r>
      <w:hyperlink r:id="rId7" w:tgtFrame="_blank" w:history="1">
        <w:r w:rsidRPr="002F59D7">
          <w:rPr>
            <w:rStyle w:val="Hipervnculo"/>
          </w:rPr>
          <w:t>aquí</w:t>
        </w:r>
      </w:hyperlink>
      <w:r w:rsidRPr="002F59D7">
        <w:t>.</w:t>
      </w:r>
    </w:p>
    <w:p w14:paraId="00D87E4A" w14:textId="363518F7" w:rsidR="002F59D7" w:rsidRPr="002F59D7" w:rsidRDefault="00F85A53" w:rsidP="002F59D7">
      <w:pPr>
        <w:jc w:val="both"/>
      </w:pPr>
      <w:hyperlink r:id="rId8" w:history="1">
        <w:r w:rsidR="002F59D7" w:rsidRPr="002F59D7">
          <w:rPr>
            <w:rStyle w:val="Hipervnculo"/>
          </w:rPr>
          <w:t>IASB</w:t>
        </w:r>
        <w:r w:rsidR="002F59D7">
          <w:rPr>
            <w:rStyle w:val="Hipervnculo"/>
          </w:rPr>
          <w:t xml:space="preserve"> </w:t>
        </w:r>
      </w:hyperlink>
      <w:hyperlink r:id="rId9" w:history="1">
        <w:r w:rsidR="002F59D7" w:rsidRPr="002F59D7">
          <w:rPr>
            <w:rStyle w:val="Hipervnculo"/>
          </w:rPr>
          <w:t>NIIF 19</w:t>
        </w:r>
        <w:r w:rsidR="002F59D7">
          <w:rPr>
            <w:rStyle w:val="Hipervnculo"/>
          </w:rPr>
          <w:t xml:space="preserve"> </w:t>
        </w:r>
      </w:hyperlink>
      <w:hyperlink r:id="rId10" w:history="1">
        <w:r w:rsidR="002F59D7" w:rsidRPr="002F59D7">
          <w:rPr>
            <w:rStyle w:val="Hipervnculo"/>
          </w:rPr>
          <w:t>SEC</w:t>
        </w:r>
      </w:hyperlink>
    </w:p>
    <w:p w14:paraId="0C718EB7" w14:textId="6007EAD3" w:rsidR="002F59D7" w:rsidRPr="002F59D7" w:rsidRDefault="002F59D7" w:rsidP="002F59D7">
      <w:pPr>
        <w:jc w:val="both"/>
      </w:pPr>
    </w:p>
    <w:p w14:paraId="64310731" w14:textId="59856582" w:rsidR="00335D35" w:rsidRDefault="00335D35" w:rsidP="002F59D7">
      <w:pPr>
        <w:jc w:val="both"/>
      </w:pPr>
    </w:p>
    <w:p w14:paraId="6D9419FE" w14:textId="65B62972" w:rsidR="002F59D7" w:rsidRDefault="002F59D7"/>
    <w:p w14:paraId="1860E424" w14:textId="581CF7DE" w:rsidR="002F59D7" w:rsidRDefault="002F59D7"/>
    <w:p w14:paraId="6A5DE1BA" w14:textId="623BB5CE" w:rsidR="002F59D7" w:rsidRDefault="002F59D7"/>
    <w:p w14:paraId="27BA8E48" w14:textId="3AF12FF5" w:rsidR="002F59D7" w:rsidRDefault="002F59D7"/>
    <w:p w14:paraId="51C98EA3" w14:textId="4632D53E" w:rsidR="002F59D7" w:rsidRDefault="002F59D7"/>
    <w:p w14:paraId="272B8C1C" w14:textId="4CAAC6D1" w:rsidR="002F59D7" w:rsidRDefault="002F59D7"/>
    <w:p w14:paraId="4E9A260D" w14:textId="2F5C6F7B" w:rsidR="002F59D7" w:rsidRDefault="002F59D7">
      <w:r w:rsidRPr="002F59D7">
        <w:rPr>
          <w:noProof/>
        </w:rPr>
        <w:drawing>
          <wp:inline distT="0" distB="0" distL="0" distR="0" wp14:anchorId="082D911C" wp14:editId="518E40CE">
            <wp:extent cx="5612130" cy="1008380"/>
            <wp:effectExtent l="0" t="0" r="762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1008380"/>
                    </a:xfrm>
                    <a:prstGeom prst="rect">
                      <a:avLst/>
                    </a:prstGeom>
                  </pic:spPr>
                </pic:pic>
              </a:graphicData>
            </a:graphic>
          </wp:inline>
        </w:drawing>
      </w:r>
    </w:p>
    <w:p w14:paraId="36E01E27" w14:textId="77777777" w:rsidR="002F59D7" w:rsidRPr="002F59D7" w:rsidRDefault="00F85A53" w:rsidP="002F59D7">
      <w:pPr>
        <w:jc w:val="both"/>
        <w:rPr>
          <w:b/>
          <w:bCs/>
        </w:rPr>
      </w:pPr>
      <w:hyperlink r:id="rId12" w:history="1">
        <w:r w:rsidR="002F59D7" w:rsidRPr="002F59D7">
          <w:rPr>
            <w:rStyle w:val="Hipervnculo"/>
            <w:b/>
            <w:bCs/>
          </w:rPr>
          <w:t>Declaración</w:t>
        </w:r>
      </w:hyperlink>
    </w:p>
    <w:p w14:paraId="4EF180A1" w14:textId="57E22A71" w:rsidR="002F59D7" w:rsidRPr="002F59D7" w:rsidRDefault="002F59D7" w:rsidP="002F59D7">
      <w:pPr>
        <w:jc w:val="both"/>
        <w:rPr>
          <w:sz w:val="24"/>
          <w:szCs w:val="24"/>
        </w:rPr>
      </w:pPr>
      <w:r w:rsidRPr="002F59D7">
        <w:rPr>
          <w:sz w:val="24"/>
          <w:szCs w:val="24"/>
        </w:rPr>
        <w:t>Declaración sobre la aplicación de la NIIF 19,</w:t>
      </w:r>
      <w:r w:rsidR="0079107B" w:rsidRPr="0079107B">
        <w:rPr>
          <w:sz w:val="24"/>
          <w:szCs w:val="24"/>
        </w:rPr>
        <w:t xml:space="preserve"> </w:t>
      </w:r>
      <w:r w:rsidRPr="002F59D7">
        <w:rPr>
          <w:i/>
          <w:iCs/>
          <w:sz w:val="24"/>
          <w:szCs w:val="24"/>
        </w:rPr>
        <w:t>Subsidiarias sin responsabilidad pública: revelaciones</w:t>
      </w:r>
      <w:r w:rsidRPr="002F59D7">
        <w:rPr>
          <w:sz w:val="24"/>
          <w:szCs w:val="24"/>
        </w:rPr>
        <w:t>, en presentaciones ante la SEC</w:t>
      </w:r>
      <w:r w:rsidR="0079107B" w:rsidRPr="0079107B">
        <w:rPr>
          <w:sz w:val="24"/>
          <w:szCs w:val="24"/>
        </w:rPr>
        <w:t xml:space="preserve"> </w:t>
      </w:r>
      <w:bookmarkStart w:id="0" w:name="_ftnref1"/>
      <w:r w:rsidRPr="002F59D7">
        <w:rPr>
          <w:sz w:val="24"/>
          <w:szCs w:val="24"/>
        </w:rPr>
        <w:fldChar w:fldCharType="begin"/>
      </w:r>
      <w:r w:rsidRPr="002F59D7">
        <w:rPr>
          <w:sz w:val="24"/>
          <w:szCs w:val="24"/>
        </w:rPr>
        <w:instrText xml:space="preserve"> HYPERLINK "https://www.sec.gov/news/statement/munter-gerding-statement-ifrs19-051724" \l "_ftn1" \o "" </w:instrText>
      </w:r>
      <w:r w:rsidRPr="002F59D7">
        <w:rPr>
          <w:sz w:val="24"/>
          <w:szCs w:val="24"/>
        </w:rPr>
        <w:fldChar w:fldCharType="separate"/>
      </w:r>
      <w:r w:rsidRPr="002F59D7">
        <w:rPr>
          <w:rStyle w:val="Hipervnculo"/>
          <w:sz w:val="24"/>
          <w:szCs w:val="24"/>
        </w:rPr>
        <w:t>[1]</w:t>
      </w:r>
      <w:r w:rsidRPr="002F59D7">
        <w:rPr>
          <w:sz w:val="24"/>
          <w:szCs w:val="24"/>
        </w:rPr>
        <w:fldChar w:fldCharType="end"/>
      </w:r>
      <w:bookmarkEnd w:id="0"/>
    </w:p>
    <w:p w14:paraId="21E07EC0" w14:textId="311A54EE" w:rsidR="002F59D7" w:rsidRPr="002F59D7" w:rsidRDefault="002F59D7" w:rsidP="002F59D7">
      <w:pPr>
        <w:jc w:val="both"/>
      </w:pPr>
      <w:r w:rsidRPr="002F59D7">
        <w:t>Erik Gerding</w:t>
      </w:r>
      <w:r>
        <w:t xml:space="preserve"> </w:t>
      </w:r>
      <w:r w:rsidR="0079107B" w:rsidRPr="002F59D7">
        <w:rPr>
          <w:i/>
          <w:iCs/>
        </w:rPr>
        <w:t>director</w:t>
      </w:r>
      <w:r w:rsidRPr="002F59D7">
        <w:rPr>
          <w:i/>
          <w:iCs/>
        </w:rPr>
        <w:t>, División de Finanzas Corporativas</w:t>
      </w:r>
    </w:p>
    <w:p w14:paraId="3C6B528F" w14:textId="4E2143F9" w:rsidR="002F59D7" w:rsidRPr="002F59D7" w:rsidRDefault="002F59D7" w:rsidP="002F59D7">
      <w:pPr>
        <w:jc w:val="both"/>
        <w:rPr>
          <w:b/>
          <w:bCs/>
        </w:rPr>
      </w:pPr>
      <w:r w:rsidRPr="002F59D7">
        <w:rPr>
          <w:b/>
          <w:bCs/>
          <w:noProof/>
        </w:rPr>
        <w:drawing>
          <wp:inline distT="0" distB="0" distL="0" distR="0" wp14:anchorId="6D29CF95" wp14:editId="6EAF1764">
            <wp:extent cx="723900" cy="952500"/>
            <wp:effectExtent l="0" t="0" r="0" b="0"/>
            <wp:docPr id="1" name="Imagen 1" descr="Pablo Mu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blo Mun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a:ln>
                      <a:noFill/>
                    </a:ln>
                  </pic:spPr>
                </pic:pic>
              </a:graphicData>
            </a:graphic>
          </wp:inline>
        </w:drawing>
      </w:r>
    </w:p>
    <w:p w14:paraId="7C4B045F" w14:textId="1F17DDCD" w:rsidR="002F59D7" w:rsidRPr="002F59D7" w:rsidRDefault="002F59D7" w:rsidP="002F59D7">
      <w:pPr>
        <w:jc w:val="both"/>
      </w:pPr>
      <w:r w:rsidRPr="002F59D7">
        <w:t>Paul Munter</w:t>
      </w:r>
      <w:r>
        <w:t xml:space="preserve"> </w:t>
      </w:r>
      <w:r w:rsidRPr="002F59D7">
        <w:rPr>
          <w:i/>
          <w:iCs/>
        </w:rPr>
        <w:t>Contador jefe</w:t>
      </w:r>
    </w:p>
    <w:p w14:paraId="64F3BB34" w14:textId="77777777" w:rsidR="002F59D7" w:rsidRPr="002F59D7" w:rsidRDefault="002F59D7" w:rsidP="002F59D7">
      <w:pPr>
        <w:jc w:val="both"/>
        <w:rPr>
          <w:b/>
          <w:bCs/>
        </w:rPr>
      </w:pPr>
      <w:r w:rsidRPr="002F59D7">
        <w:rPr>
          <w:b/>
          <w:bCs/>
        </w:rPr>
        <w:t>17 de mayo de 2024</w:t>
      </w:r>
    </w:p>
    <w:p w14:paraId="75619C1E" w14:textId="34C6C02D" w:rsidR="002F59D7" w:rsidRPr="002F59D7" w:rsidRDefault="002F59D7" w:rsidP="002F59D7">
      <w:pPr>
        <w:jc w:val="both"/>
      </w:pPr>
      <w:r w:rsidRPr="002F59D7">
        <w:t>En mayo de 2024, el Consejo de Normas Internacionales de Contabilidad (“IASB”) emitió la Norma Internacional de Información Financiera (“NIIF”) 19,</w:t>
      </w:r>
      <w:r w:rsidR="0079107B">
        <w:t xml:space="preserve"> </w:t>
      </w:r>
      <w:r w:rsidRPr="002F59D7">
        <w:rPr>
          <w:i/>
          <w:iCs/>
        </w:rPr>
        <w:t>Subsidiarias sin Responsabilidad Pública: Divulgaciones</w:t>
      </w:r>
      <w:r w:rsidR="0079107B">
        <w:t xml:space="preserve"> </w:t>
      </w:r>
      <w:r w:rsidRPr="002F59D7">
        <w:t>(“NIIF 19”), que permite a ciertas subsidiarias de compañías informantes proporcionar revelaciones reducidas. al aplicar los requisitos de reconocimiento, medición y presentación de las Normas de Contabilidad NIIF</w:t>
      </w:r>
      <w:r w:rsidRPr="002F59D7">
        <w:rPr>
          <w:i/>
          <w:iCs/>
        </w:rPr>
        <w:t>.</w:t>
      </w:r>
      <w:bookmarkStart w:id="1" w:name="_ftnref2"/>
      <w:r w:rsidRPr="002F59D7">
        <w:fldChar w:fldCharType="begin"/>
      </w:r>
      <w:r w:rsidRPr="002F59D7">
        <w:instrText xml:space="preserve"> HYPERLINK "https://www.sec.gov/news/statement/munter-gerding-statement-ifrs19-051724" \l "_ftn2" \o "" </w:instrText>
      </w:r>
      <w:r w:rsidRPr="002F59D7">
        <w:fldChar w:fldCharType="separate"/>
      </w:r>
      <w:r w:rsidRPr="002F59D7">
        <w:rPr>
          <w:rStyle w:val="Hipervnculo"/>
        </w:rPr>
        <w:t>[2]</w:t>
      </w:r>
      <w:r w:rsidRPr="002F59D7">
        <w:fldChar w:fldCharType="end"/>
      </w:r>
      <w:bookmarkEnd w:id="1"/>
      <w:r w:rsidR="0079107B">
        <w:t xml:space="preserve"> </w:t>
      </w:r>
      <w:r w:rsidRPr="002F59D7">
        <w:t>La NIIF 19 también especifica que las subsidiarias elegibles que opten por aplicar la norma deben proporcionar revelaciones materiales adicionales cuando determine que la información es necesaria para permitir a los usuarios de los estados financieros comprender el impacto de las transacciones, eventos y condiciones en la situación financiera de la subsidiaria y rendimiento financiero.</w:t>
      </w:r>
      <w:bookmarkStart w:id="2" w:name="_ftnref3"/>
      <w:r w:rsidRPr="002F59D7">
        <w:fldChar w:fldCharType="begin"/>
      </w:r>
      <w:r w:rsidRPr="002F59D7">
        <w:instrText xml:space="preserve"> HYPERLINK "https://www.sec.gov/news/statement/munter-gerding-statement-ifrs19-051724" \l "_ftn3" \o "" </w:instrText>
      </w:r>
      <w:r w:rsidRPr="002F59D7">
        <w:fldChar w:fldCharType="separate"/>
      </w:r>
      <w:r w:rsidRPr="002F59D7">
        <w:rPr>
          <w:rStyle w:val="Hipervnculo"/>
        </w:rPr>
        <w:t>[3]</w:t>
      </w:r>
      <w:r w:rsidRPr="002F59D7">
        <w:fldChar w:fldCharType="end"/>
      </w:r>
      <w:bookmarkEnd w:id="2"/>
      <w:r w:rsidR="00F85A53">
        <w:t xml:space="preserve"> </w:t>
      </w:r>
      <w:r w:rsidRPr="002F59D7">
        <w:t>Aunque el alcance de la NIIF 19 se limita a entidades que no tienen responsabilidad pública</w:t>
      </w:r>
      <w:bookmarkStart w:id="3" w:name="_ftnref4"/>
      <w:r w:rsidRPr="002F59D7">
        <w:fldChar w:fldCharType="begin"/>
      </w:r>
      <w:r w:rsidRPr="002F59D7">
        <w:instrText xml:space="preserve"> HYPERLINK "https://www.sec.gov/news/statement/munter-gerding-statement-ifrs19-051724" \l "_ftn4" \o "" </w:instrText>
      </w:r>
      <w:r w:rsidRPr="002F59D7">
        <w:fldChar w:fldCharType="separate"/>
      </w:r>
      <w:r w:rsidRPr="002F59D7">
        <w:rPr>
          <w:rStyle w:val="Hipervnculo"/>
        </w:rPr>
        <w:t>[4]</w:t>
      </w:r>
      <w:r w:rsidRPr="002F59D7">
        <w:fldChar w:fldCharType="end"/>
      </w:r>
      <w:bookmarkEnd w:id="3"/>
      <w:r w:rsidR="00F85A53">
        <w:t xml:space="preserve"> </w:t>
      </w:r>
      <w:r w:rsidRPr="002F59D7">
        <w:t xml:space="preserve">al final del período de presentación de </w:t>
      </w:r>
      <w:r w:rsidRPr="002F59D7">
        <w:lastRenderedPageBreak/>
        <w:t>sus estados financieros, puede haber situaciones en las que los estados financieros que aplican la NIIF 19 se incluyan en las presentaciones ante la Oficina de Valores. and Exchange Commission (la “SEC” o la “Comisión”). En estas situaciones, creemos que los requisitos de la NIIF 19 probablemente requieran revelaciones adicionales en los estados financieros presentados ante la SEC porque dichos estados financieros están destinados a ser utilizados por inversionistas en nuestros mercados públicos de capital para tomar decisiones de inversión y votación.</w:t>
      </w:r>
    </w:p>
    <w:p w14:paraId="3CAF301F" w14:textId="520F2AFA" w:rsidR="002F59D7" w:rsidRPr="002F59D7" w:rsidRDefault="002F59D7" w:rsidP="002F59D7">
      <w:pPr>
        <w:jc w:val="both"/>
      </w:pPr>
      <w:r w:rsidRPr="002F59D7">
        <w:t>Según las reglas de la SEC, las entidades registradas generalmente deben presentar ciertos estados financieros preparados de acuerdo con los US GAAP.</w:t>
      </w:r>
      <w:bookmarkStart w:id="4" w:name="_ftnref5"/>
      <w:r w:rsidRPr="002F59D7">
        <w:fldChar w:fldCharType="begin"/>
      </w:r>
      <w:r w:rsidRPr="002F59D7">
        <w:instrText xml:space="preserve"> HYPERLINK "https://www.sec.gov/news/statement/munter-gerding-statement-ifrs19-051724" \l "_ftn5" \o "" </w:instrText>
      </w:r>
      <w:r w:rsidRPr="002F59D7">
        <w:fldChar w:fldCharType="separate"/>
      </w:r>
      <w:r w:rsidRPr="002F59D7">
        <w:rPr>
          <w:rStyle w:val="Hipervnculo"/>
        </w:rPr>
        <w:t>[5]</w:t>
      </w:r>
      <w:r w:rsidRPr="002F59D7">
        <w:fldChar w:fldCharType="end"/>
      </w:r>
      <w:bookmarkEnd w:id="4"/>
      <w:r w:rsidR="00F85A53">
        <w:t xml:space="preserve"> </w:t>
      </w:r>
      <w:r w:rsidRPr="002F59D7">
        <w:t>Sin embargo, a los emisores privados extranjeros,</w:t>
      </w:r>
      <w:bookmarkStart w:id="5" w:name="_ftnref6"/>
      <w:r w:rsidRPr="002F59D7">
        <w:fldChar w:fldCharType="begin"/>
      </w:r>
      <w:r w:rsidRPr="002F59D7">
        <w:instrText xml:space="preserve"> HYPERLINK "https://www.sec.gov/news/statement/munter-gerding-statement-ifrs19-051724" \l "_ftn6" \o "" </w:instrText>
      </w:r>
      <w:r w:rsidRPr="002F59D7">
        <w:fldChar w:fldCharType="separate"/>
      </w:r>
      <w:r w:rsidRPr="002F59D7">
        <w:rPr>
          <w:rStyle w:val="Hipervnculo"/>
        </w:rPr>
        <w:t>[6]</w:t>
      </w:r>
      <w:r w:rsidRPr="002F59D7">
        <w:fldChar w:fldCharType="end"/>
      </w:r>
      <w:bookmarkEnd w:id="5"/>
      <w:r w:rsidR="00F85A53">
        <w:t xml:space="preserve"> </w:t>
      </w:r>
      <w:r w:rsidRPr="002F59D7">
        <w:t>se les permite presentar estados financieros preparados de acuerdo con las NIIF emitidas por el IASB o, alternativamente, de acuerdo con los PCGA de su país de origen con conciliación con los PCGA de EE.UU.</w:t>
      </w:r>
      <w:bookmarkStart w:id="6" w:name="_ftnref7"/>
      <w:r w:rsidRPr="002F59D7">
        <w:fldChar w:fldCharType="begin"/>
      </w:r>
      <w:r w:rsidRPr="002F59D7">
        <w:instrText xml:space="preserve"> HYPERLINK "https://www.sec.gov/news/statement/munter-gerding-statement-ifrs19-051724" \l "_ftn7" \o "" </w:instrText>
      </w:r>
      <w:r w:rsidRPr="002F59D7">
        <w:fldChar w:fldCharType="separate"/>
      </w:r>
      <w:r w:rsidRPr="002F59D7">
        <w:rPr>
          <w:rStyle w:val="Hipervnculo"/>
        </w:rPr>
        <w:t>[7]</w:t>
      </w:r>
      <w:r w:rsidRPr="002F59D7">
        <w:fldChar w:fldCharType="end"/>
      </w:r>
      <w:bookmarkEnd w:id="6"/>
      <w:r w:rsidR="00F85A53">
        <w:t xml:space="preserve"> </w:t>
      </w:r>
      <w:r w:rsidRPr="002F59D7">
        <w:t>La información financiera de alta calidad proporcionada a los inversores es fundamental para la integridad de nuestro sistema de mercados de capitales. Las reglas de la SEC especifican que los estados financieros preparados de acuerdo con el marco de información financiera aplicable (es decir, los PCGA de EE. UU. o las NIIF emitidos por el IASB) son el requisito mínimo y las entidades registradas deben considerar si se necesita información material adicional para que los estados financieros requeridos. no son engañosos.</w:t>
      </w:r>
      <w:bookmarkStart w:id="7" w:name="_ftnref8"/>
      <w:r w:rsidRPr="002F59D7">
        <w:fldChar w:fldCharType="begin"/>
      </w:r>
      <w:r w:rsidRPr="002F59D7">
        <w:instrText xml:space="preserve"> HYPERLINK "https://www.sec.gov/news/statement/munter-gerding-statement-ifrs19-051724" \l "_ftn8" \o "" </w:instrText>
      </w:r>
      <w:r w:rsidRPr="002F59D7">
        <w:fldChar w:fldCharType="separate"/>
      </w:r>
      <w:r w:rsidRPr="002F59D7">
        <w:rPr>
          <w:rStyle w:val="Hipervnculo"/>
        </w:rPr>
        <w:t>[8]</w:t>
      </w:r>
      <w:r w:rsidRPr="002F59D7">
        <w:fldChar w:fldCharType="end"/>
      </w:r>
      <w:bookmarkEnd w:id="7"/>
      <w:r w:rsidR="00F85A53">
        <w:t xml:space="preserve"> </w:t>
      </w:r>
      <w:r w:rsidRPr="002F59D7">
        <w:t>Este principio guía nuestra interpretación de la aplicación de la NIIF 19 a los mercados públicos de valores de Estados Unidos.</w:t>
      </w:r>
    </w:p>
    <w:p w14:paraId="27D5ED9B" w14:textId="6CDBFD88" w:rsidR="002F59D7" w:rsidRPr="002F59D7" w:rsidRDefault="002F59D7" w:rsidP="002F59D7">
      <w:pPr>
        <w:jc w:val="both"/>
      </w:pPr>
      <w:r w:rsidRPr="002F59D7">
        <w:t>Al establecer las reglas que rigen la divulgación por parte de emisores privados extranjeros con valores negociados en los mercados de valores públicos de los Estados Unidos, la Comisión ha reconocido la importancia de equilibrar las necesidades de información de los inversionistas con el interés público servido por las oportunidades de invertir en una variedad de valores. Históricamente, la Comisión ha apoyado iniciativas para reducir las cargas regulatorias sobre los emisores privados extranjeros que sean consistentes con el mandato de protección de los inversionistas de la Comisión.</w:t>
      </w:r>
      <w:bookmarkStart w:id="8" w:name="_ftnref9"/>
      <w:r w:rsidRPr="002F59D7">
        <w:fldChar w:fldCharType="begin"/>
      </w:r>
      <w:r w:rsidRPr="002F59D7">
        <w:instrText xml:space="preserve"> HYPERLINK "https://www.sec.gov/news/statement/munter-gerding-statement-ifrs19-051724" \l "_ftn9" \o "" </w:instrText>
      </w:r>
      <w:r w:rsidRPr="002F59D7">
        <w:fldChar w:fldCharType="separate"/>
      </w:r>
      <w:r w:rsidRPr="002F59D7">
        <w:rPr>
          <w:rStyle w:val="Hipervnculo"/>
        </w:rPr>
        <w:t>[9]</w:t>
      </w:r>
      <w:r w:rsidRPr="002F59D7">
        <w:fldChar w:fldCharType="end"/>
      </w:r>
      <w:bookmarkEnd w:id="8"/>
      <w:r w:rsidR="00F85A53">
        <w:t xml:space="preserve"> </w:t>
      </w:r>
      <w:r w:rsidRPr="002F59D7">
        <w:t>Reconocemos los esfuerzos del IASB al promulgar la NIIF 19 para promover la eficiencia de las subsidiarias que no tienen responsabilidad pública, cuya empresa matriz emite estados financieros consolidados, incluidos todos los requisitos de divulgación, de acuerdo con las Normas de Contabilidad NIIF,</w:t>
      </w:r>
      <w:bookmarkStart w:id="9" w:name="_ftnref10"/>
      <w:r w:rsidRPr="002F59D7">
        <w:fldChar w:fldCharType="begin"/>
      </w:r>
      <w:r w:rsidRPr="002F59D7">
        <w:instrText xml:space="preserve"> HYPERLINK "https://www.sec.gov/news/statement/munter-gerding-statement-ifrs19-051724" \l "_ftn10" \o "" </w:instrText>
      </w:r>
      <w:r w:rsidRPr="002F59D7">
        <w:fldChar w:fldCharType="separate"/>
      </w:r>
      <w:r w:rsidRPr="002F59D7">
        <w:rPr>
          <w:rStyle w:val="Hipervnculo"/>
        </w:rPr>
        <w:t>[10]</w:t>
      </w:r>
      <w:r w:rsidRPr="002F59D7">
        <w:fldChar w:fldCharType="end"/>
      </w:r>
      <w:bookmarkEnd w:id="9"/>
      <w:r w:rsidR="00F85A53">
        <w:t xml:space="preserve"> </w:t>
      </w:r>
      <w:r w:rsidRPr="002F59D7">
        <w:t>manteniendo información útil para la toma de decisiones por parte de los usuarios de los estados financieros en ciertos contextos. También creemos que el requisito de la NIIF 19 para que las entidades consideren si son necesarias revelaciones adicionales para proporcionar una comprensión de eventos o circunstancias particulares es fundamental para fines de protección de los inversores en los mercados públicos de valores de EE. UU. Las divulgaciones que son adecuadas para otros fines para entidades sin responsabilidad pública pueden no ser suficientes para satisfacer las necesidades de los inversores en los mercados públicos de valores de Estados Unidos.</w:t>
      </w:r>
      <w:bookmarkStart w:id="10" w:name="_ftnref11"/>
      <w:r w:rsidRPr="002F59D7">
        <w:fldChar w:fldCharType="begin"/>
      </w:r>
      <w:r w:rsidRPr="002F59D7">
        <w:instrText xml:space="preserve"> HYPERLINK "https://www.sec.gov/news/statement/munter-gerding-statement-ifrs19-051724" \l "_ftn11" \o "" </w:instrText>
      </w:r>
      <w:r w:rsidRPr="002F59D7">
        <w:fldChar w:fldCharType="separate"/>
      </w:r>
      <w:r w:rsidRPr="002F59D7">
        <w:rPr>
          <w:rStyle w:val="Hipervnculo"/>
        </w:rPr>
        <w:t>[11]</w:t>
      </w:r>
      <w:r w:rsidRPr="002F59D7">
        <w:fldChar w:fldCharType="end"/>
      </w:r>
      <w:bookmarkEnd w:id="10"/>
    </w:p>
    <w:p w14:paraId="55090CB4" w14:textId="1F2AFA01" w:rsidR="002F59D7" w:rsidRPr="002F59D7" w:rsidRDefault="002F59D7" w:rsidP="002F59D7">
      <w:pPr>
        <w:jc w:val="both"/>
      </w:pPr>
      <w:r w:rsidRPr="002F59D7">
        <w:t xml:space="preserve">Como solo un ejemplo, si un emisor privado extranjero presenta documentos ante la SEC relacionados con una fusión con una empresa extranjera que califica y elige aplicar la NIIF 19, y el registrante debe proporcionar estados financieros de la empresa extranjera, la empresa extranjera La NIIF 19 requiere que considere si es necesario incluir revelaciones materiales adicionales en sus estados financieros para permitir a los inversionistas comprender el impacto de las transacciones, otros eventos y condiciones en la posición financiera y el desempeño financiero del negocio en el extranjero. El propósito de incluir los estados financieros de la empresa extranjera en la presentación ante la SEC en el momento de la transacción es ayudar a los inversores a comprender </w:t>
      </w:r>
      <w:r w:rsidRPr="002F59D7">
        <w:lastRenderedPageBreak/>
        <w:t>mejor la naturaleza y el alcance de la empresa que se adquiere y la entidad combinada resultante al tomar sus decisiones de votación o de inversión. Dado el propósito de la inclusión de los estados financieros de la empresa extranjera en la declaración de registro, las necesidades de los inversionistas probablemente serían similares a las necesidades de los inversionistas en una entidad con responsabilidad pública.</w:t>
      </w:r>
      <w:bookmarkStart w:id="11" w:name="_ftnref12"/>
      <w:r w:rsidRPr="002F59D7">
        <w:fldChar w:fldCharType="begin"/>
      </w:r>
      <w:r w:rsidRPr="002F59D7">
        <w:instrText xml:space="preserve"> HYPERLINK "https://www.sec.gov/news/statement/munter-gerding-statement-ifrs19-051724" \l "_ftn12" \o "" </w:instrText>
      </w:r>
      <w:r w:rsidRPr="002F59D7">
        <w:fldChar w:fldCharType="separate"/>
      </w:r>
      <w:r w:rsidRPr="002F59D7">
        <w:rPr>
          <w:rStyle w:val="Hipervnculo"/>
        </w:rPr>
        <w:t>[12]</w:t>
      </w:r>
      <w:r w:rsidRPr="002F59D7">
        <w:fldChar w:fldCharType="end"/>
      </w:r>
      <w:bookmarkEnd w:id="11"/>
      <w:r w:rsidR="00F85A53">
        <w:t xml:space="preserve"> </w:t>
      </w:r>
      <w:r w:rsidRPr="002F59D7">
        <w:t>En tal escenario, aunque la empresa extranjera pueda ser elegible y haya elegido aplicar la NIIF 19 para beneficiarse de revelaciones reducidas, debe considerar cuidadosamente si, no obstante, se requiere incluir revelaciones materiales adicionales de otras NIIF. Normas para lograr los objetivos de la información financiera dado el uso de esos estados financieros en una presentación ante la SEC.</w:t>
      </w:r>
      <w:bookmarkStart w:id="12" w:name="_ftnref13"/>
      <w:r w:rsidRPr="002F59D7">
        <w:fldChar w:fldCharType="begin"/>
      </w:r>
      <w:r w:rsidRPr="002F59D7">
        <w:instrText xml:space="preserve"> HYPERLINK "https://www.sec.gov/news/statement/munter-gerding-statement-ifrs19-051724" \l "_ftn13" \o "" </w:instrText>
      </w:r>
      <w:r w:rsidRPr="002F59D7">
        <w:fldChar w:fldCharType="separate"/>
      </w:r>
      <w:r w:rsidRPr="002F59D7">
        <w:rPr>
          <w:rStyle w:val="Hipervnculo"/>
        </w:rPr>
        <w:t>[13]</w:t>
      </w:r>
      <w:r w:rsidRPr="002F59D7">
        <w:fldChar w:fldCharType="end"/>
      </w:r>
      <w:bookmarkEnd w:id="12"/>
    </w:p>
    <w:p w14:paraId="57393479" w14:textId="0800722A" w:rsidR="002F59D7" w:rsidRDefault="002F59D7" w:rsidP="002F59D7">
      <w:pPr>
        <w:jc w:val="both"/>
      </w:pPr>
      <w:r w:rsidRPr="002F59D7">
        <w:t>Estamos comprometidos a ayudar a los registrantes a cumplir con sus responsabilidades relacionadas con el suministro de información financiera de alta calidad a los inversores y otros usuarios de los estados financieros, y permanecemos disponibles para consultas sobre cuestiones relacionadas con la forma y el contenido de los estados financieros</w:t>
      </w:r>
      <w:r w:rsidR="00F85A53">
        <w:t xml:space="preserve"> </w:t>
      </w:r>
      <w:bookmarkStart w:id="13" w:name="_ftnref14"/>
      <w:r w:rsidRPr="002F59D7">
        <w:fldChar w:fldCharType="begin"/>
      </w:r>
      <w:r w:rsidRPr="002F59D7">
        <w:instrText xml:space="preserve"> HYPERLINK "https://www.sec.gov/news/statement/munter-gerding-statement-ifrs19-051724" \l "_ftn14" \o "" </w:instrText>
      </w:r>
      <w:r w:rsidRPr="002F59D7">
        <w:fldChar w:fldCharType="separate"/>
      </w:r>
      <w:r w:rsidRPr="002F59D7">
        <w:rPr>
          <w:rStyle w:val="Hipervnculo"/>
        </w:rPr>
        <w:t>[14]</w:t>
      </w:r>
      <w:r w:rsidRPr="002F59D7">
        <w:fldChar w:fldCharType="end"/>
      </w:r>
      <w:bookmarkEnd w:id="13"/>
      <w:r w:rsidR="00F85A53">
        <w:t xml:space="preserve"> </w:t>
      </w:r>
      <w:r w:rsidRPr="002F59D7">
        <w:t>y la contabilidad técnica. asuntos,</w:t>
      </w:r>
      <w:bookmarkStart w:id="14" w:name="_ftnref15"/>
      <w:r w:rsidRPr="002F59D7">
        <w:fldChar w:fldCharType="begin"/>
      </w:r>
      <w:r w:rsidRPr="002F59D7">
        <w:instrText xml:space="preserve"> HYPERLINK "https://www.sec.gov/news/statement/munter-gerding-statement-ifrs19-051724" \l "_ftn15" \o "" </w:instrText>
      </w:r>
      <w:r w:rsidRPr="002F59D7">
        <w:fldChar w:fldCharType="separate"/>
      </w:r>
      <w:r w:rsidRPr="002F59D7">
        <w:rPr>
          <w:rStyle w:val="Hipervnculo"/>
        </w:rPr>
        <w:t>[15]</w:t>
      </w:r>
      <w:r w:rsidRPr="002F59D7">
        <w:fldChar w:fldCharType="end"/>
      </w:r>
      <w:bookmarkEnd w:id="14"/>
      <w:r w:rsidR="00F85A53">
        <w:t xml:space="preserve"> </w:t>
      </w:r>
      <w:r w:rsidRPr="002F59D7">
        <w:t>incluida la aplicación de la NIIF 19 en las presentaciones de la Comisión.</w:t>
      </w:r>
    </w:p>
    <w:p w14:paraId="41FA045D" w14:textId="4A223F2D" w:rsidR="00F85A53" w:rsidRDefault="00F85A53" w:rsidP="002F59D7">
      <w:pPr>
        <w:jc w:val="both"/>
      </w:pPr>
    </w:p>
    <w:p w14:paraId="1EDE7A4A" w14:textId="77777777" w:rsidR="00F85A53" w:rsidRPr="002F59D7" w:rsidRDefault="00F85A53" w:rsidP="002F59D7">
      <w:pPr>
        <w:jc w:val="both"/>
      </w:pPr>
    </w:p>
    <w:bookmarkStart w:id="15" w:name="_ftn1"/>
    <w:p w14:paraId="14DF258C" w14:textId="6830841A" w:rsidR="002F59D7" w:rsidRPr="002F59D7" w:rsidRDefault="002F59D7" w:rsidP="002F59D7">
      <w:pPr>
        <w:jc w:val="both"/>
      </w:pPr>
      <w:r w:rsidRPr="002F59D7">
        <w:fldChar w:fldCharType="begin"/>
      </w:r>
      <w:r w:rsidRPr="002F59D7">
        <w:instrText xml:space="preserve"> HYPERLINK "https://www.sec.gov/news/statement/munter-gerding-statement-ifrs19-051724" \l "_ftnref1" \o "" </w:instrText>
      </w:r>
      <w:r w:rsidRPr="002F59D7">
        <w:fldChar w:fldCharType="separate"/>
      </w:r>
      <w:r w:rsidRPr="002F59D7">
        <w:rPr>
          <w:rStyle w:val="Hipervnculo"/>
        </w:rPr>
        <w:t>[1]</w:t>
      </w:r>
      <w:r w:rsidRPr="002F59D7">
        <w:fldChar w:fldCharType="end"/>
      </w:r>
      <w:bookmarkEnd w:id="15"/>
      <w:r w:rsidR="00F85A53">
        <w:t xml:space="preserve"> </w:t>
      </w:r>
      <w:r w:rsidRPr="002F59D7">
        <w:t>Esta declaración se proporciona en las respectivas capacidades oficiales de los autores como Director de la División de Finanzas Corporativas y Contador Jefe de la Comisión, pero no refleja necesariamente las opiniones de la Comisión, los Comisionados u otros miembros del personal. No es una norma, reglamento o declaración de la Comisión. La Comisión no ha aprobado ni desaprobado su contenido. Esta declaración, como todas las declaraciones del personal, no tiene fuerza ni efecto legal. No altera ni modifica la ley aplicable y no crea obligaciones nuevas o adicionales para ninguna persona. "Nuestro" y "nosotros" se utilizan a lo largo de esta declaración para referirse al personal de la División de Finanzas Corporativas y la Oficina del Contador Jefe.</w:t>
      </w:r>
    </w:p>
    <w:bookmarkStart w:id="16" w:name="_ftn2"/>
    <w:p w14:paraId="4FB02DF2" w14:textId="0B08F483" w:rsidR="002F59D7" w:rsidRPr="002F59D7" w:rsidRDefault="002F59D7" w:rsidP="002F59D7">
      <w:pPr>
        <w:jc w:val="both"/>
      </w:pPr>
      <w:r w:rsidRPr="002F59D7">
        <w:fldChar w:fldCharType="begin"/>
      </w:r>
      <w:r w:rsidRPr="002F59D7">
        <w:instrText xml:space="preserve"> HYPERLINK "https://www.sec.gov/news/statement/munter-gerding-statement-ifrs19-051724" \l "_ftnref2" \o "" </w:instrText>
      </w:r>
      <w:r w:rsidRPr="002F59D7">
        <w:fldChar w:fldCharType="separate"/>
      </w:r>
      <w:r w:rsidRPr="002F59D7">
        <w:rPr>
          <w:rStyle w:val="Hipervnculo"/>
        </w:rPr>
        <w:t>[2]</w:t>
      </w:r>
      <w:r w:rsidRPr="002F59D7">
        <w:fldChar w:fldCharType="end"/>
      </w:r>
      <w:bookmarkEnd w:id="16"/>
      <w:r w:rsidR="00F85A53">
        <w:t xml:space="preserve"> </w:t>
      </w:r>
      <w:r w:rsidRPr="002F59D7">
        <w:rPr>
          <w:i/>
          <w:iCs/>
        </w:rPr>
        <w:t>Véase</w:t>
      </w:r>
      <w:r w:rsidR="00F85A53">
        <w:t xml:space="preserve"> </w:t>
      </w:r>
      <w:r w:rsidRPr="002F59D7">
        <w:t>el párrafo 2 de la NIIF 19.</w:t>
      </w:r>
    </w:p>
    <w:bookmarkStart w:id="17" w:name="_ftn3"/>
    <w:p w14:paraId="34DF7EB2" w14:textId="79551213" w:rsidR="002F59D7" w:rsidRPr="002F59D7" w:rsidRDefault="002F59D7" w:rsidP="002F59D7">
      <w:pPr>
        <w:jc w:val="both"/>
      </w:pPr>
      <w:r w:rsidRPr="002F59D7">
        <w:fldChar w:fldCharType="begin"/>
      </w:r>
      <w:r w:rsidRPr="002F59D7">
        <w:instrText xml:space="preserve"> HYPERLINK "https://www.sec.gov/news/statement/munter-gerding-statement-ifrs19-051724" \l "_ftnref3" \o "" </w:instrText>
      </w:r>
      <w:r w:rsidRPr="002F59D7">
        <w:fldChar w:fldCharType="separate"/>
      </w:r>
      <w:r w:rsidRPr="002F59D7">
        <w:rPr>
          <w:rStyle w:val="Hipervnculo"/>
        </w:rPr>
        <w:t>[3]</w:t>
      </w:r>
      <w:r w:rsidRPr="002F59D7">
        <w:fldChar w:fldCharType="end"/>
      </w:r>
      <w:bookmarkEnd w:id="17"/>
      <w:r w:rsidR="00F85A53">
        <w:t xml:space="preserve"> </w:t>
      </w:r>
      <w:r w:rsidRPr="002F59D7">
        <w:rPr>
          <w:i/>
          <w:iCs/>
        </w:rPr>
        <w:t>Véase</w:t>
      </w:r>
      <w:r w:rsidR="00F85A53">
        <w:rPr>
          <w:i/>
          <w:iCs/>
        </w:rPr>
        <w:t xml:space="preserve"> </w:t>
      </w:r>
      <w:r w:rsidRPr="002F59D7">
        <w:t>el párrafo 6 de la NIIF 19.</w:t>
      </w:r>
    </w:p>
    <w:bookmarkStart w:id="18" w:name="_ftn4"/>
    <w:p w14:paraId="7D0C4E13" w14:textId="176F1222" w:rsidR="002F59D7" w:rsidRPr="002F59D7" w:rsidRDefault="002F59D7" w:rsidP="002F59D7">
      <w:pPr>
        <w:jc w:val="both"/>
      </w:pPr>
      <w:r w:rsidRPr="002F59D7">
        <w:fldChar w:fldCharType="begin"/>
      </w:r>
      <w:r w:rsidRPr="002F59D7">
        <w:instrText xml:space="preserve"> HYPERLINK "https://www.sec.gov/news/statement/munter-gerding-statement-ifrs19-051724" \l "_ftnref4" \o "" </w:instrText>
      </w:r>
      <w:r w:rsidRPr="002F59D7">
        <w:fldChar w:fldCharType="separate"/>
      </w:r>
      <w:r w:rsidRPr="002F59D7">
        <w:rPr>
          <w:rStyle w:val="Hipervnculo"/>
        </w:rPr>
        <w:t>[4]</w:t>
      </w:r>
      <w:r w:rsidRPr="002F59D7">
        <w:fldChar w:fldCharType="end"/>
      </w:r>
      <w:bookmarkEnd w:id="18"/>
      <w:r w:rsidR="00F85A53">
        <w:t xml:space="preserve"> </w:t>
      </w:r>
      <w:r w:rsidRPr="002F59D7">
        <w:rPr>
          <w:i/>
          <w:iCs/>
        </w:rPr>
        <w:t>Véase</w:t>
      </w:r>
      <w:r w:rsidR="00F85A53">
        <w:t xml:space="preserve"> </w:t>
      </w:r>
      <w:r w:rsidRPr="002F59D7">
        <w:t>el párrafo 11 de la NIIF 19 (que establece que “una entidad tiene responsabilidad pública si: (a) sus instrumentos de deuda o patrimonio se negocian en un mercado público o está en el proceso de emitir dichos instrumentos para negociar en un mercado público (una bolsa de valores nacional o extranjera o un mercado extrabursátil, incluidos los mercados locales y regionales o (b) mantiene activos en calidad de fiduciario para un amplio grupo de personas externas como uno de sus negocios principales (por ejemplo); Por ejemplo, los bancos, las cooperativas de crédito, las compañías de seguros, los corredores/agentes de valores, los fondos mutuos y los bancos de inversión a menudo cumplen con este segundo criterio”)</w:t>
      </w:r>
      <w:r w:rsidRPr="002F59D7">
        <w:rPr>
          <w:i/>
          <w:iCs/>
        </w:rPr>
        <w:t>.</w:t>
      </w:r>
    </w:p>
    <w:bookmarkStart w:id="19" w:name="_ftn5"/>
    <w:p w14:paraId="5C1C1FD1" w14:textId="6853909C" w:rsidR="002F59D7" w:rsidRPr="002F59D7" w:rsidRDefault="002F59D7" w:rsidP="002F59D7">
      <w:pPr>
        <w:jc w:val="both"/>
      </w:pPr>
      <w:r w:rsidRPr="002F59D7">
        <w:fldChar w:fldCharType="begin"/>
      </w:r>
      <w:r w:rsidRPr="002F59D7">
        <w:instrText xml:space="preserve"> HYPERLINK "https://www.sec.gov/news/statement/munter-gerding-statement-ifrs19-051724" \l "_ftnref5" \o "" </w:instrText>
      </w:r>
      <w:r w:rsidRPr="002F59D7">
        <w:fldChar w:fldCharType="separate"/>
      </w:r>
      <w:r w:rsidRPr="002F59D7">
        <w:rPr>
          <w:rStyle w:val="Hipervnculo"/>
        </w:rPr>
        <w:t>[5]</w:t>
      </w:r>
      <w:r w:rsidRPr="002F59D7">
        <w:fldChar w:fldCharType="end"/>
      </w:r>
      <w:bookmarkEnd w:id="19"/>
      <w:r w:rsidR="00F85A53">
        <w:t xml:space="preserve"> </w:t>
      </w:r>
      <w:r w:rsidRPr="002F59D7">
        <w:rPr>
          <w:i/>
          <w:iCs/>
        </w:rPr>
        <w:t>Véase</w:t>
      </w:r>
      <w:r w:rsidR="00F85A53">
        <w:t xml:space="preserve"> </w:t>
      </w:r>
      <w:r w:rsidRPr="002F59D7">
        <w:t>la Norma SX 4-01(a)(1) (que establece que los estados financieros no preparados de acuerdo con los “principios de contabilidad generalmente aceptados” se presumen engañosos o inexactos) [17 CFR 210.4-01(a)( 1)];</w:t>
      </w:r>
      <w:r w:rsidR="00F85A53">
        <w:t xml:space="preserve"> </w:t>
      </w:r>
      <w:r w:rsidRPr="002F59D7">
        <w:rPr>
          <w:i/>
          <w:iCs/>
        </w:rPr>
        <w:t>véase también</w:t>
      </w:r>
      <w:r w:rsidR="00F85A53">
        <w:t xml:space="preserve"> </w:t>
      </w:r>
      <w:r w:rsidRPr="002F59D7">
        <w:t xml:space="preserve">la Ley de Valores de 1933 (la “Ley de Valores”) y la Declaración de política de la Comisión que reafirma el estatus de la FASB como emisor de normas diseñado para el sector privado, comunicado </w:t>
      </w:r>
      <w:r w:rsidR="00F85A53">
        <w:t>No.</w:t>
      </w:r>
      <w:r w:rsidRPr="002F59D7">
        <w:t xml:space="preserve"> 33-8221 (en conjunto, designan las normas de </w:t>
      </w:r>
      <w:r w:rsidRPr="002F59D7">
        <w:lastRenderedPageBreak/>
        <w:t>contabilidad e informes financieros promulgadas por el Consejo de Normas de Contabilidad Financiera como “generalmente aceptado” a los efectos de las leyes de valores).</w:t>
      </w:r>
    </w:p>
    <w:bookmarkStart w:id="20" w:name="_ftn6"/>
    <w:p w14:paraId="3DFD8AF0" w14:textId="0A98AECA" w:rsidR="002F59D7" w:rsidRPr="002F59D7" w:rsidRDefault="002F59D7" w:rsidP="002F59D7">
      <w:pPr>
        <w:jc w:val="both"/>
      </w:pPr>
      <w:r w:rsidRPr="002F59D7">
        <w:fldChar w:fldCharType="begin"/>
      </w:r>
      <w:r w:rsidRPr="002F59D7">
        <w:instrText xml:space="preserve"> HYPERLINK "https://www.sec.gov/news/statement/munter-gerding-statement-ifrs19-051724" \l "_ftnref6" \o "" </w:instrText>
      </w:r>
      <w:r w:rsidRPr="002F59D7">
        <w:fldChar w:fldCharType="separate"/>
      </w:r>
      <w:r w:rsidRPr="002F59D7">
        <w:rPr>
          <w:rStyle w:val="Hipervnculo"/>
        </w:rPr>
        <w:t>[6]</w:t>
      </w:r>
      <w:r w:rsidRPr="002F59D7">
        <w:fldChar w:fldCharType="end"/>
      </w:r>
      <w:bookmarkEnd w:id="20"/>
      <w:r w:rsidR="00F85A53">
        <w:t xml:space="preserve"> </w:t>
      </w:r>
      <w:r w:rsidRPr="002F59D7">
        <w:rPr>
          <w:i/>
          <w:iCs/>
        </w:rPr>
        <w:t>Véase</w:t>
      </w:r>
      <w:r w:rsidR="00F85A53">
        <w:t xml:space="preserve"> </w:t>
      </w:r>
      <w:r w:rsidRPr="002F59D7">
        <w:t>la Regla 405 de la Regulación C bajo la Ley de Valores y la Regla 3b-4 de la Ley de Bolsa de Valores de 1934 (la “Ley de Bolsa”) (que define “emisor privado extranjero”).</w:t>
      </w:r>
    </w:p>
    <w:bookmarkStart w:id="21" w:name="_ftn7"/>
    <w:p w14:paraId="42C7F640" w14:textId="3A5B590D" w:rsidR="002F59D7" w:rsidRPr="002F59D7" w:rsidRDefault="002F59D7" w:rsidP="002F59D7">
      <w:pPr>
        <w:jc w:val="both"/>
      </w:pPr>
      <w:r w:rsidRPr="002F59D7">
        <w:fldChar w:fldCharType="begin"/>
      </w:r>
      <w:r w:rsidRPr="002F59D7">
        <w:instrText xml:space="preserve"> HYPERLINK "https://www.sec.gov/news/statement/munter-gerding-statement-ifrs19-051724" \l "_ftnref7" \o "" </w:instrText>
      </w:r>
      <w:r w:rsidRPr="002F59D7">
        <w:fldChar w:fldCharType="separate"/>
      </w:r>
      <w:r w:rsidRPr="002F59D7">
        <w:rPr>
          <w:rStyle w:val="Hipervnculo"/>
        </w:rPr>
        <w:t>[7]</w:t>
      </w:r>
      <w:r w:rsidRPr="002F59D7">
        <w:fldChar w:fldCharType="end"/>
      </w:r>
      <w:bookmarkEnd w:id="21"/>
      <w:r w:rsidR="00F85A53">
        <w:t xml:space="preserve"> </w:t>
      </w:r>
      <w:r w:rsidRPr="002F59D7">
        <w:rPr>
          <w:i/>
          <w:iCs/>
        </w:rPr>
        <w:t>Véase</w:t>
      </w:r>
      <w:r w:rsidR="00F85A53">
        <w:rPr>
          <w:i/>
          <w:iCs/>
        </w:rPr>
        <w:t xml:space="preserve"> </w:t>
      </w:r>
      <w:r w:rsidRPr="002F59D7">
        <w:t>la Regla 4-01(a)(2) de la Regulación SX [17 CFR 210.4-01(a)(2)].</w:t>
      </w:r>
    </w:p>
    <w:bookmarkStart w:id="22" w:name="_ftn8"/>
    <w:p w14:paraId="0C3EBFA8" w14:textId="51616716" w:rsidR="002F59D7" w:rsidRPr="002F59D7" w:rsidRDefault="002F59D7" w:rsidP="002F59D7">
      <w:pPr>
        <w:jc w:val="both"/>
      </w:pPr>
      <w:r w:rsidRPr="002F59D7">
        <w:fldChar w:fldCharType="begin"/>
      </w:r>
      <w:r w:rsidRPr="002F59D7">
        <w:instrText xml:space="preserve"> HYPERLINK "https://www.sec.gov/news/statement/munter-gerding-statement-ifrs19-051724" \l "_ftnref8" \o "" </w:instrText>
      </w:r>
      <w:r w:rsidRPr="002F59D7">
        <w:fldChar w:fldCharType="separate"/>
      </w:r>
      <w:r w:rsidRPr="002F59D7">
        <w:rPr>
          <w:rStyle w:val="Hipervnculo"/>
        </w:rPr>
        <w:t>[8]</w:t>
      </w:r>
      <w:r w:rsidRPr="002F59D7">
        <w:fldChar w:fldCharType="end"/>
      </w:r>
      <w:bookmarkEnd w:id="22"/>
      <w:r w:rsidR="00F85A53">
        <w:t xml:space="preserve"> </w:t>
      </w:r>
      <w:r w:rsidRPr="002F59D7">
        <w:rPr>
          <w:i/>
          <w:iCs/>
        </w:rPr>
        <w:t>Véase</w:t>
      </w:r>
      <w:r w:rsidR="00F85A53">
        <w:t xml:space="preserve"> </w:t>
      </w:r>
      <w:r w:rsidRPr="002F59D7">
        <w:t>la Regla 4-01(a) de la Regulación SX [17 CFR 210.4-01].</w:t>
      </w:r>
    </w:p>
    <w:bookmarkStart w:id="23" w:name="_ftn9"/>
    <w:p w14:paraId="5E4B51AB" w14:textId="2842BABD" w:rsidR="002F59D7" w:rsidRPr="002F59D7" w:rsidRDefault="002F59D7" w:rsidP="002F59D7">
      <w:pPr>
        <w:jc w:val="both"/>
      </w:pPr>
      <w:r w:rsidRPr="002F59D7">
        <w:fldChar w:fldCharType="begin"/>
      </w:r>
      <w:r w:rsidRPr="002F59D7">
        <w:instrText xml:space="preserve"> HYPERLINK "https://www.sec.gov/news/statement/munter-gerding-statement-ifrs19-051724" \l "_ftnref9" \o "" </w:instrText>
      </w:r>
      <w:r w:rsidRPr="002F59D7">
        <w:fldChar w:fldCharType="separate"/>
      </w:r>
      <w:r w:rsidRPr="002F59D7">
        <w:rPr>
          <w:rStyle w:val="Hipervnculo"/>
        </w:rPr>
        <w:t>[9]</w:t>
      </w:r>
      <w:r w:rsidRPr="002F59D7">
        <w:fldChar w:fldCharType="end"/>
      </w:r>
      <w:bookmarkEnd w:id="23"/>
      <w:r w:rsidR="00F85A53">
        <w:t xml:space="preserve"> </w:t>
      </w:r>
      <w:r w:rsidRPr="002F59D7">
        <w:t>Comunicado de la Ley de Valores No. 33-7745 (28 de septiembre de 1999) [64 FR 53900] (citando el Comunicado de la Ley de Valores No. 6360 (20 de noviembre de 1981) [46 FR 58511]).</w:t>
      </w:r>
    </w:p>
    <w:bookmarkStart w:id="24" w:name="_ftn10"/>
    <w:p w14:paraId="0A88EB76" w14:textId="19BF6384" w:rsidR="002F59D7" w:rsidRPr="002F59D7" w:rsidRDefault="002F59D7" w:rsidP="002F59D7">
      <w:pPr>
        <w:jc w:val="both"/>
      </w:pPr>
      <w:r w:rsidRPr="002F59D7">
        <w:fldChar w:fldCharType="begin"/>
      </w:r>
      <w:r w:rsidRPr="002F59D7">
        <w:instrText xml:space="preserve"> HYPERLINK "https://www.sec.gov/news/statement/munter-gerding-statement-ifrs19-051724" \l "_ftnref10" \o "" </w:instrText>
      </w:r>
      <w:r w:rsidRPr="002F59D7">
        <w:fldChar w:fldCharType="separate"/>
      </w:r>
      <w:r w:rsidRPr="002F59D7">
        <w:rPr>
          <w:rStyle w:val="Hipervnculo"/>
        </w:rPr>
        <w:t>[10]</w:t>
      </w:r>
      <w:r w:rsidRPr="002F59D7">
        <w:fldChar w:fldCharType="end"/>
      </w:r>
      <w:bookmarkEnd w:id="24"/>
      <w:r w:rsidR="00F85A53">
        <w:t xml:space="preserve"> </w:t>
      </w:r>
      <w:r w:rsidRPr="002F59D7">
        <w:rPr>
          <w:i/>
          <w:iCs/>
        </w:rPr>
        <w:t>Véanse</w:t>
      </w:r>
      <w:r w:rsidR="00F85A53">
        <w:t xml:space="preserve"> </w:t>
      </w:r>
      <w:r w:rsidRPr="002F59D7">
        <w:t>los párrafos 7 a 12 de la NIIF 19.</w:t>
      </w:r>
    </w:p>
    <w:bookmarkStart w:id="25" w:name="_ftn11"/>
    <w:p w14:paraId="41BDB548" w14:textId="6A5656D7" w:rsidR="002F59D7" w:rsidRPr="002F59D7" w:rsidRDefault="002F59D7" w:rsidP="002F59D7">
      <w:pPr>
        <w:jc w:val="both"/>
      </w:pPr>
      <w:r w:rsidRPr="002F59D7">
        <w:fldChar w:fldCharType="begin"/>
      </w:r>
      <w:r w:rsidRPr="002F59D7">
        <w:instrText xml:space="preserve"> HYPERLINK "https://www.sec.gov/news/statement/munter-gerding-statement-ifrs19-051724" \l "_ftnref11" \o "" </w:instrText>
      </w:r>
      <w:r w:rsidRPr="002F59D7">
        <w:fldChar w:fldCharType="separate"/>
      </w:r>
      <w:r w:rsidRPr="002F59D7">
        <w:rPr>
          <w:rStyle w:val="Hipervnculo"/>
        </w:rPr>
        <w:t>[11]</w:t>
      </w:r>
      <w:r w:rsidRPr="002F59D7">
        <w:fldChar w:fldCharType="end"/>
      </w:r>
      <w:bookmarkEnd w:id="25"/>
      <w:r w:rsidR="00F85A53">
        <w:t xml:space="preserve"> </w:t>
      </w:r>
      <w:r w:rsidRPr="002F59D7">
        <w:rPr>
          <w:i/>
          <w:iCs/>
        </w:rPr>
        <w:t>Véase, por ejemplo</w:t>
      </w:r>
      <w:r w:rsidRPr="002F59D7">
        <w:t>, Actualización de Normas de Contabilidad del Consejo de Normas de Contabilidad Financiera No. 2013-12,</w:t>
      </w:r>
      <w:r w:rsidR="00F85A53">
        <w:t xml:space="preserve"> </w:t>
      </w:r>
      <w:r w:rsidRPr="002F59D7">
        <w:rPr>
          <w:i/>
          <w:iCs/>
        </w:rPr>
        <w:t>Definición de entidad comercial pública</w:t>
      </w:r>
      <w:r w:rsidRPr="002F59D7">
        <w:t>, en el párrafo FC11.</w:t>
      </w:r>
      <w:r w:rsidR="00F85A53">
        <w:t xml:space="preserve"> </w:t>
      </w:r>
      <w:r w:rsidRPr="002F59D7">
        <w:rPr>
          <w:i/>
          <w:iCs/>
        </w:rPr>
        <w:t>Véase también</w:t>
      </w:r>
      <w:r w:rsidR="00F85A53">
        <w:t xml:space="preserve"> </w:t>
      </w:r>
      <w:r w:rsidRPr="002F59D7">
        <w:t>Presidente Gary Gensler, Comentarios preparados ante el Comité Asesor de Inversores, disponible en</w:t>
      </w:r>
      <w:r w:rsidR="00F85A53">
        <w:t xml:space="preserve"> </w:t>
      </w:r>
      <w:hyperlink r:id="rId14" w:history="1">
        <w:r w:rsidRPr="002F59D7">
          <w:rPr>
            <w:rStyle w:val="Hipervnculo"/>
            <w:i/>
            <w:iCs/>
          </w:rPr>
          <w:t>https://www.sec.gov/news/speech/gensler-remarks-iac-092123</w:t>
        </w:r>
      </w:hyperlink>
      <w:r w:rsidR="00F85A53">
        <w:rPr>
          <w:i/>
          <w:iCs/>
        </w:rPr>
        <w:t xml:space="preserve"> </w:t>
      </w:r>
      <w:r w:rsidRPr="002F59D7">
        <w:t>(señalando que el Congreso y la Comisión han reconocido que ciertas transacciones o los emisores deberían estar exentos de los típicos requisitos de divulgación, dando origen a los mercados privados, que tienen exenciones a ciertos requisitos de divulgación).</w:t>
      </w:r>
    </w:p>
    <w:bookmarkStart w:id="26" w:name="_ftn12"/>
    <w:p w14:paraId="25E05377" w14:textId="04690498" w:rsidR="002F59D7" w:rsidRPr="002F59D7" w:rsidRDefault="002F59D7" w:rsidP="002F59D7">
      <w:pPr>
        <w:jc w:val="both"/>
      </w:pPr>
      <w:r w:rsidRPr="002F59D7">
        <w:fldChar w:fldCharType="begin"/>
      </w:r>
      <w:r w:rsidRPr="002F59D7">
        <w:instrText xml:space="preserve"> HYPERLINK "https://www.sec.gov/news/statement/munter-gerding-statement-ifrs19-051724" \l "_ftnref12" \o "" </w:instrText>
      </w:r>
      <w:r w:rsidRPr="002F59D7">
        <w:fldChar w:fldCharType="separate"/>
      </w:r>
      <w:r w:rsidRPr="002F59D7">
        <w:rPr>
          <w:rStyle w:val="Hipervnculo"/>
        </w:rPr>
        <w:t>[12]</w:t>
      </w:r>
      <w:r w:rsidRPr="002F59D7">
        <w:fldChar w:fldCharType="end"/>
      </w:r>
      <w:bookmarkEnd w:id="26"/>
      <w:r w:rsidR="00F85A53">
        <w:t xml:space="preserve"> </w:t>
      </w:r>
      <w:r w:rsidRPr="002F59D7">
        <w:rPr>
          <w:i/>
          <w:iCs/>
        </w:rPr>
        <w:t>Véase, por ejemplo,</w:t>
      </w:r>
      <w:r w:rsidRPr="002F59D7">
        <w:t> el Ítem 17(b) del Formulario 20-F (que establece que “[l]os estados financieros deberán revelar un contenido de información sustancialmente similar a los estados financieros que cumplan con los principios de contabilidad generalmente aceptados de los EE. UU. y la Regulación SX”).</w:t>
      </w:r>
    </w:p>
    <w:bookmarkStart w:id="27" w:name="_ftn13"/>
    <w:p w14:paraId="29EEBA93" w14:textId="10C48952" w:rsidR="002F59D7" w:rsidRPr="002F59D7" w:rsidRDefault="002F59D7" w:rsidP="002F59D7">
      <w:pPr>
        <w:jc w:val="both"/>
      </w:pPr>
      <w:r w:rsidRPr="002F59D7">
        <w:fldChar w:fldCharType="begin"/>
      </w:r>
      <w:r w:rsidRPr="002F59D7">
        <w:instrText xml:space="preserve"> HYPERLINK "https://www.sec.gov/news/statement/munter-gerding-statement-ifrs19-051724" \l "_ftnref13" \o "" </w:instrText>
      </w:r>
      <w:r w:rsidRPr="002F59D7">
        <w:fldChar w:fldCharType="separate"/>
      </w:r>
      <w:r w:rsidRPr="002F59D7">
        <w:rPr>
          <w:rStyle w:val="Hipervnculo"/>
        </w:rPr>
        <w:t>[13]</w:t>
      </w:r>
      <w:r w:rsidRPr="002F59D7">
        <w:fldChar w:fldCharType="end"/>
      </w:r>
      <w:bookmarkEnd w:id="27"/>
      <w:r w:rsidR="00F85A53">
        <w:t xml:space="preserve"> </w:t>
      </w:r>
      <w:r w:rsidRPr="002F59D7">
        <w:rPr>
          <w:i/>
          <w:iCs/>
        </w:rPr>
        <w:t>Véase</w:t>
      </w:r>
      <w:r w:rsidR="00F85A53">
        <w:rPr>
          <w:i/>
          <w:iCs/>
        </w:rPr>
        <w:t xml:space="preserve"> </w:t>
      </w:r>
      <w:r w:rsidRPr="002F59D7">
        <w:t>Consejo de Normas Internacionales de Contabilidad,</w:t>
      </w:r>
      <w:r w:rsidR="00F85A53">
        <w:t xml:space="preserve"> </w:t>
      </w:r>
      <w:r w:rsidRPr="002F59D7">
        <w:rPr>
          <w:i/>
          <w:iCs/>
        </w:rPr>
        <w:t>El marco conceptual de la información financiera</w:t>
      </w:r>
      <w:r w:rsidRPr="002F59D7">
        <w:t>, en párr. 1.2 (el objetivo de la información financiera con propósito general es proporcionar información que sea útil para los inversores al tomar decisiones sobre (a) comprar, vender o mantener valores, (b) otorgar o liquidar préstamos y otras formas de crédito, o (c) ejercer derechos de voto sobre acciones de la administración que afecten el uso de los recursos económicos de la entidad).</w:t>
      </w:r>
    </w:p>
    <w:bookmarkStart w:id="28" w:name="_ftn14"/>
    <w:p w14:paraId="467851AC" w14:textId="05FD1876" w:rsidR="002F59D7" w:rsidRPr="002F59D7" w:rsidRDefault="002F59D7" w:rsidP="002F59D7">
      <w:pPr>
        <w:jc w:val="both"/>
      </w:pPr>
      <w:r w:rsidRPr="002F59D7">
        <w:fldChar w:fldCharType="begin"/>
      </w:r>
      <w:r w:rsidRPr="002F59D7">
        <w:instrText xml:space="preserve"> HYPERLINK "https://www.sec.gov/news/statement/munter-gerding-statement-ifrs19-051724" \l "_ftnref14" \o "" </w:instrText>
      </w:r>
      <w:r w:rsidRPr="002F59D7">
        <w:fldChar w:fldCharType="separate"/>
      </w:r>
      <w:r w:rsidRPr="002F59D7">
        <w:rPr>
          <w:rStyle w:val="Hipervnculo"/>
        </w:rPr>
        <w:t>[14]</w:t>
      </w:r>
      <w:r w:rsidRPr="002F59D7">
        <w:fldChar w:fldCharType="end"/>
      </w:r>
      <w:bookmarkEnd w:id="28"/>
      <w:r w:rsidR="00F85A53">
        <w:t xml:space="preserve"> </w:t>
      </w:r>
      <w:r w:rsidRPr="002F59D7">
        <w:t>Más información sobre cómo presentar solicitudes de cartas de no acción, interpretativas o de exención con respecto a la forma y el contenido de los estados financieros y otra información financiera que debe incluirse en las presentaciones de la Comisión está disponible en la página web de la División de Finanzas Corporativas, disponible en</w:t>
      </w:r>
      <w:r>
        <w:t xml:space="preserve"> </w:t>
      </w:r>
      <w:hyperlink r:id="rId15" w:history="1">
        <w:r w:rsidRPr="002F59D7">
          <w:rPr>
            <w:rStyle w:val="Hipervnculo"/>
          </w:rPr>
          <w:t>https://www.sec.gov/about/divisions-offices/division-corporation-finance/contact-us</w:t>
        </w:r>
      </w:hyperlink>
      <w:r w:rsidRPr="002F59D7">
        <w:t>.</w:t>
      </w:r>
    </w:p>
    <w:bookmarkStart w:id="29" w:name="_ftn15"/>
    <w:p w14:paraId="10E21D23" w14:textId="00F8BEE1" w:rsidR="002F59D7" w:rsidRPr="002F59D7" w:rsidRDefault="002F59D7" w:rsidP="002F59D7">
      <w:pPr>
        <w:jc w:val="both"/>
      </w:pPr>
      <w:r w:rsidRPr="002F59D7">
        <w:fldChar w:fldCharType="begin"/>
      </w:r>
      <w:r w:rsidRPr="002F59D7">
        <w:instrText xml:space="preserve"> HYPERLINK "https://www.sec.gov/news/statement/munter-gerding-statement-ifrs19-051724" \l "_ftnref15" \o "" </w:instrText>
      </w:r>
      <w:r w:rsidRPr="002F59D7">
        <w:fldChar w:fldCharType="separate"/>
      </w:r>
      <w:r w:rsidRPr="002F59D7">
        <w:rPr>
          <w:rStyle w:val="Hipervnculo"/>
        </w:rPr>
        <w:t>[15]</w:t>
      </w:r>
      <w:r w:rsidRPr="002F59D7">
        <w:fldChar w:fldCharType="end"/>
      </w:r>
      <w:bookmarkEnd w:id="29"/>
      <w:r w:rsidR="00F85A53">
        <w:t xml:space="preserve"> </w:t>
      </w:r>
      <w:r w:rsidRPr="002F59D7">
        <w:t>Más información sobre cómo iniciar un diálogo con la OCA, qué esperar del proceso de consulta y qué información debe incluirse en una presentación de consulta para que la OCA aborde más rápidamente la pregunta de una empresa o del auditor está disponible en la página web de la OCA, disponible en </w:t>
      </w:r>
      <w:hyperlink r:id="rId16" w:history="1">
        <w:r w:rsidRPr="002F59D7">
          <w:rPr>
            <w:rStyle w:val="Hipervnculo"/>
          </w:rPr>
          <w:t>https://www.sec.gov/page/communicating-oca</w:t>
        </w:r>
      </w:hyperlink>
      <w:r w:rsidRPr="002F59D7">
        <w:t>.</w:t>
      </w:r>
    </w:p>
    <w:p w14:paraId="796D9A68" w14:textId="493A7B34" w:rsidR="002F59D7" w:rsidRDefault="002F59D7" w:rsidP="002F59D7">
      <w:pPr>
        <w:jc w:val="both"/>
      </w:pPr>
      <w:r w:rsidRPr="002F59D7">
        <w:rPr>
          <w:noProof/>
        </w:rPr>
        <w:lastRenderedPageBreak/>
        <w:drawing>
          <wp:inline distT="0" distB="0" distL="0" distR="0" wp14:anchorId="639546B1" wp14:editId="5D7E651B">
            <wp:extent cx="5612130" cy="145288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12130" cy="1452880"/>
                    </a:xfrm>
                    <a:prstGeom prst="rect">
                      <a:avLst/>
                    </a:prstGeom>
                  </pic:spPr>
                </pic:pic>
              </a:graphicData>
            </a:graphic>
          </wp:inline>
        </w:drawing>
      </w:r>
    </w:p>
    <w:p w14:paraId="4A193E96" w14:textId="77777777" w:rsidR="002F59D7" w:rsidRDefault="002F59D7" w:rsidP="002F59D7">
      <w:pPr>
        <w:jc w:val="both"/>
      </w:pPr>
    </w:p>
    <w:sectPr w:rsidR="002F59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9D7"/>
    <w:rsid w:val="002F59D7"/>
    <w:rsid w:val="00335D35"/>
    <w:rsid w:val="0079107B"/>
    <w:rsid w:val="00F85A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F75F68"/>
  <w15:chartTrackingRefBased/>
  <w15:docId w15:val="{57BCF7FC-C530-4B7C-9686-FBA211770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F59D7"/>
    <w:rPr>
      <w:color w:val="0563C1" w:themeColor="hyperlink"/>
      <w:u w:val="single"/>
    </w:rPr>
  </w:style>
  <w:style w:type="character" w:styleId="Mencinsinresolver">
    <w:name w:val="Unresolved Mention"/>
    <w:basedOn w:val="Fuentedeprrafopredeter"/>
    <w:uiPriority w:val="99"/>
    <w:semiHidden/>
    <w:unhideWhenUsed/>
    <w:rsid w:val="002F5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534420">
      <w:bodyDiv w:val="1"/>
      <w:marLeft w:val="0"/>
      <w:marRight w:val="0"/>
      <w:marTop w:val="0"/>
      <w:marBottom w:val="0"/>
      <w:divBdr>
        <w:top w:val="none" w:sz="0" w:space="0" w:color="auto"/>
        <w:left w:val="none" w:sz="0" w:space="0" w:color="auto"/>
        <w:bottom w:val="none" w:sz="0" w:space="0" w:color="auto"/>
        <w:right w:val="none" w:sz="0" w:space="0" w:color="auto"/>
      </w:divBdr>
      <w:divsChild>
        <w:div w:id="1091051002">
          <w:marLeft w:val="0"/>
          <w:marRight w:val="0"/>
          <w:marTop w:val="0"/>
          <w:marBottom w:val="0"/>
          <w:divBdr>
            <w:top w:val="none" w:sz="0" w:space="0" w:color="auto"/>
            <w:left w:val="none" w:sz="0" w:space="0" w:color="auto"/>
            <w:bottom w:val="none" w:sz="0" w:space="0" w:color="auto"/>
            <w:right w:val="none" w:sz="0" w:space="0" w:color="auto"/>
          </w:divBdr>
        </w:div>
        <w:div w:id="239751107">
          <w:marLeft w:val="0"/>
          <w:marRight w:val="0"/>
          <w:marTop w:val="300"/>
          <w:marBottom w:val="300"/>
          <w:divBdr>
            <w:top w:val="none" w:sz="0" w:space="0" w:color="auto"/>
            <w:left w:val="none" w:sz="0" w:space="0" w:color="auto"/>
            <w:bottom w:val="none" w:sz="0" w:space="0" w:color="auto"/>
            <w:right w:val="none" w:sz="0" w:space="0" w:color="auto"/>
          </w:divBdr>
        </w:div>
        <w:div w:id="65495818">
          <w:marLeft w:val="0"/>
          <w:marRight w:val="0"/>
          <w:marTop w:val="600"/>
          <w:marBottom w:val="0"/>
          <w:divBdr>
            <w:top w:val="none" w:sz="0" w:space="0" w:color="auto"/>
            <w:left w:val="none" w:sz="0" w:space="0" w:color="auto"/>
            <w:bottom w:val="none" w:sz="0" w:space="0" w:color="auto"/>
            <w:right w:val="none" w:sz="0" w:space="0" w:color="auto"/>
          </w:divBdr>
          <w:divsChild>
            <w:div w:id="480196408">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 w:id="444470618">
      <w:bodyDiv w:val="1"/>
      <w:marLeft w:val="0"/>
      <w:marRight w:val="0"/>
      <w:marTop w:val="0"/>
      <w:marBottom w:val="0"/>
      <w:divBdr>
        <w:top w:val="none" w:sz="0" w:space="0" w:color="auto"/>
        <w:left w:val="none" w:sz="0" w:space="0" w:color="auto"/>
        <w:bottom w:val="none" w:sz="0" w:space="0" w:color="auto"/>
        <w:right w:val="none" w:sz="0" w:space="0" w:color="auto"/>
      </w:divBdr>
      <w:divsChild>
        <w:div w:id="1145583980">
          <w:marLeft w:val="0"/>
          <w:marRight w:val="0"/>
          <w:marTop w:val="0"/>
          <w:marBottom w:val="300"/>
          <w:divBdr>
            <w:top w:val="none" w:sz="0" w:space="0" w:color="auto"/>
            <w:left w:val="none" w:sz="0" w:space="0" w:color="auto"/>
            <w:bottom w:val="none" w:sz="0" w:space="0" w:color="auto"/>
            <w:right w:val="none" w:sz="0" w:space="0" w:color="auto"/>
          </w:divBdr>
          <w:divsChild>
            <w:div w:id="1428233013">
              <w:marLeft w:val="0"/>
              <w:marRight w:val="0"/>
              <w:marTop w:val="0"/>
              <w:marBottom w:val="0"/>
              <w:divBdr>
                <w:top w:val="none" w:sz="0" w:space="0" w:color="auto"/>
                <w:left w:val="none" w:sz="0" w:space="0" w:color="auto"/>
                <w:bottom w:val="none" w:sz="0" w:space="0" w:color="auto"/>
                <w:right w:val="none" w:sz="0" w:space="0" w:color="auto"/>
              </w:divBdr>
            </w:div>
          </w:divsChild>
        </w:div>
        <w:div w:id="1896118688">
          <w:marLeft w:val="0"/>
          <w:marRight w:val="0"/>
          <w:marTop w:val="0"/>
          <w:marBottom w:val="300"/>
          <w:divBdr>
            <w:top w:val="none" w:sz="0" w:space="0" w:color="auto"/>
            <w:left w:val="none" w:sz="0" w:space="0" w:color="auto"/>
            <w:bottom w:val="none" w:sz="0" w:space="0" w:color="auto"/>
            <w:right w:val="none" w:sz="0" w:space="0" w:color="auto"/>
          </w:divBdr>
          <w:divsChild>
            <w:div w:id="734473677">
              <w:marLeft w:val="0"/>
              <w:marRight w:val="0"/>
              <w:marTop w:val="0"/>
              <w:marBottom w:val="180"/>
              <w:divBdr>
                <w:top w:val="none" w:sz="0" w:space="0" w:color="auto"/>
                <w:left w:val="none" w:sz="0" w:space="0" w:color="auto"/>
                <w:bottom w:val="none" w:sz="0" w:space="0" w:color="auto"/>
                <w:right w:val="none" w:sz="0" w:space="0" w:color="auto"/>
              </w:divBdr>
              <w:divsChild>
                <w:div w:id="103771349">
                  <w:marLeft w:val="0"/>
                  <w:marRight w:val="0"/>
                  <w:marTop w:val="0"/>
                  <w:marBottom w:val="300"/>
                  <w:divBdr>
                    <w:top w:val="none" w:sz="0" w:space="0" w:color="auto"/>
                    <w:left w:val="none" w:sz="0" w:space="0" w:color="auto"/>
                    <w:bottom w:val="none" w:sz="0" w:space="0" w:color="auto"/>
                    <w:right w:val="none" w:sz="0" w:space="0" w:color="auto"/>
                  </w:divBdr>
                </w:div>
                <w:div w:id="1080639060">
                  <w:marLeft w:val="0"/>
                  <w:marRight w:val="0"/>
                  <w:marTop w:val="0"/>
                  <w:marBottom w:val="300"/>
                  <w:divBdr>
                    <w:top w:val="none" w:sz="0" w:space="0" w:color="auto"/>
                    <w:left w:val="none" w:sz="0" w:space="0" w:color="auto"/>
                    <w:bottom w:val="none" w:sz="0" w:space="0" w:color="auto"/>
                    <w:right w:val="none" w:sz="0" w:space="0" w:color="auto"/>
                  </w:divBdr>
                  <w:divsChild>
                    <w:div w:id="120686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728207">
              <w:marLeft w:val="0"/>
              <w:marRight w:val="0"/>
              <w:marTop w:val="0"/>
              <w:marBottom w:val="0"/>
              <w:divBdr>
                <w:top w:val="none" w:sz="0" w:space="0" w:color="auto"/>
                <w:left w:val="none" w:sz="0" w:space="0" w:color="auto"/>
                <w:bottom w:val="none" w:sz="0" w:space="0" w:color="auto"/>
                <w:right w:val="none" w:sz="0" w:space="0" w:color="auto"/>
              </w:divBdr>
              <w:divsChild>
                <w:div w:id="1240365818">
                  <w:marLeft w:val="0"/>
                  <w:marRight w:val="0"/>
                  <w:marTop w:val="0"/>
                  <w:marBottom w:val="0"/>
                  <w:divBdr>
                    <w:top w:val="none" w:sz="0" w:space="0" w:color="auto"/>
                    <w:left w:val="none" w:sz="0" w:space="0" w:color="auto"/>
                    <w:bottom w:val="none" w:sz="0" w:space="0" w:color="auto"/>
                    <w:right w:val="none" w:sz="0" w:space="0" w:color="auto"/>
                  </w:divBdr>
                  <w:divsChild>
                    <w:div w:id="448668503">
                      <w:marLeft w:val="0"/>
                      <w:marRight w:val="0"/>
                      <w:marTop w:val="0"/>
                      <w:marBottom w:val="0"/>
                      <w:divBdr>
                        <w:top w:val="none" w:sz="0" w:space="0" w:color="auto"/>
                        <w:left w:val="none" w:sz="0" w:space="0" w:color="auto"/>
                        <w:bottom w:val="none" w:sz="0" w:space="0" w:color="auto"/>
                        <w:right w:val="none" w:sz="0" w:space="0" w:color="auto"/>
                      </w:divBdr>
                    </w:div>
                    <w:div w:id="1635407811">
                      <w:marLeft w:val="0"/>
                      <w:marRight w:val="0"/>
                      <w:marTop w:val="0"/>
                      <w:marBottom w:val="0"/>
                      <w:divBdr>
                        <w:top w:val="none" w:sz="0" w:space="0" w:color="auto"/>
                        <w:left w:val="none" w:sz="0" w:space="0" w:color="auto"/>
                        <w:bottom w:val="none" w:sz="0" w:space="0" w:color="auto"/>
                        <w:right w:val="none" w:sz="0" w:space="0" w:color="auto"/>
                      </w:divBdr>
                    </w:div>
                    <w:div w:id="2029482517">
                      <w:marLeft w:val="0"/>
                      <w:marRight w:val="0"/>
                      <w:marTop w:val="0"/>
                      <w:marBottom w:val="0"/>
                      <w:divBdr>
                        <w:top w:val="none" w:sz="0" w:space="0" w:color="auto"/>
                        <w:left w:val="none" w:sz="0" w:space="0" w:color="auto"/>
                        <w:bottom w:val="none" w:sz="0" w:space="0" w:color="auto"/>
                        <w:right w:val="none" w:sz="0" w:space="0" w:color="auto"/>
                      </w:divBdr>
                    </w:div>
                    <w:div w:id="862742948">
                      <w:marLeft w:val="0"/>
                      <w:marRight w:val="0"/>
                      <w:marTop w:val="0"/>
                      <w:marBottom w:val="0"/>
                      <w:divBdr>
                        <w:top w:val="none" w:sz="0" w:space="0" w:color="auto"/>
                        <w:left w:val="none" w:sz="0" w:space="0" w:color="auto"/>
                        <w:bottom w:val="none" w:sz="0" w:space="0" w:color="auto"/>
                        <w:right w:val="none" w:sz="0" w:space="0" w:color="auto"/>
                      </w:divBdr>
                    </w:div>
                    <w:div w:id="1396507875">
                      <w:marLeft w:val="0"/>
                      <w:marRight w:val="0"/>
                      <w:marTop w:val="0"/>
                      <w:marBottom w:val="0"/>
                      <w:divBdr>
                        <w:top w:val="none" w:sz="0" w:space="0" w:color="auto"/>
                        <w:left w:val="none" w:sz="0" w:space="0" w:color="auto"/>
                        <w:bottom w:val="none" w:sz="0" w:space="0" w:color="auto"/>
                        <w:right w:val="none" w:sz="0" w:space="0" w:color="auto"/>
                      </w:divBdr>
                    </w:div>
                    <w:div w:id="1964726122">
                      <w:marLeft w:val="0"/>
                      <w:marRight w:val="0"/>
                      <w:marTop w:val="0"/>
                      <w:marBottom w:val="0"/>
                      <w:divBdr>
                        <w:top w:val="none" w:sz="0" w:space="0" w:color="auto"/>
                        <w:left w:val="none" w:sz="0" w:space="0" w:color="auto"/>
                        <w:bottom w:val="none" w:sz="0" w:space="0" w:color="auto"/>
                        <w:right w:val="none" w:sz="0" w:space="0" w:color="auto"/>
                      </w:divBdr>
                    </w:div>
                    <w:div w:id="715663380">
                      <w:marLeft w:val="0"/>
                      <w:marRight w:val="0"/>
                      <w:marTop w:val="0"/>
                      <w:marBottom w:val="0"/>
                      <w:divBdr>
                        <w:top w:val="none" w:sz="0" w:space="0" w:color="auto"/>
                        <w:left w:val="none" w:sz="0" w:space="0" w:color="auto"/>
                        <w:bottom w:val="none" w:sz="0" w:space="0" w:color="auto"/>
                        <w:right w:val="none" w:sz="0" w:space="0" w:color="auto"/>
                      </w:divBdr>
                    </w:div>
                    <w:div w:id="239145975">
                      <w:marLeft w:val="0"/>
                      <w:marRight w:val="0"/>
                      <w:marTop w:val="0"/>
                      <w:marBottom w:val="0"/>
                      <w:divBdr>
                        <w:top w:val="none" w:sz="0" w:space="0" w:color="auto"/>
                        <w:left w:val="none" w:sz="0" w:space="0" w:color="auto"/>
                        <w:bottom w:val="none" w:sz="0" w:space="0" w:color="auto"/>
                        <w:right w:val="none" w:sz="0" w:space="0" w:color="auto"/>
                      </w:divBdr>
                    </w:div>
                    <w:div w:id="191311393">
                      <w:marLeft w:val="0"/>
                      <w:marRight w:val="0"/>
                      <w:marTop w:val="0"/>
                      <w:marBottom w:val="0"/>
                      <w:divBdr>
                        <w:top w:val="none" w:sz="0" w:space="0" w:color="auto"/>
                        <w:left w:val="none" w:sz="0" w:space="0" w:color="auto"/>
                        <w:bottom w:val="none" w:sz="0" w:space="0" w:color="auto"/>
                        <w:right w:val="none" w:sz="0" w:space="0" w:color="auto"/>
                      </w:divBdr>
                    </w:div>
                    <w:div w:id="806972328">
                      <w:marLeft w:val="0"/>
                      <w:marRight w:val="0"/>
                      <w:marTop w:val="0"/>
                      <w:marBottom w:val="0"/>
                      <w:divBdr>
                        <w:top w:val="none" w:sz="0" w:space="0" w:color="auto"/>
                        <w:left w:val="none" w:sz="0" w:space="0" w:color="auto"/>
                        <w:bottom w:val="none" w:sz="0" w:space="0" w:color="auto"/>
                        <w:right w:val="none" w:sz="0" w:space="0" w:color="auto"/>
                      </w:divBdr>
                    </w:div>
                    <w:div w:id="949047943">
                      <w:marLeft w:val="0"/>
                      <w:marRight w:val="0"/>
                      <w:marTop w:val="0"/>
                      <w:marBottom w:val="0"/>
                      <w:divBdr>
                        <w:top w:val="none" w:sz="0" w:space="0" w:color="auto"/>
                        <w:left w:val="none" w:sz="0" w:space="0" w:color="auto"/>
                        <w:bottom w:val="none" w:sz="0" w:space="0" w:color="auto"/>
                        <w:right w:val="none" w:sz="0" w:space="0" w:color="auto"/>
                      </w:divBdr>
                    </w:div>
                    <w:div w:id="636496262">
                      <w:marLeft w:val="0"/>
                      <w:marRight w:val="0"/>
                      <w:marTop w:val="0"/>
                      <w:marBottom w:val="0"/>
                      <w:divBdr>
                        <w:top w:val="none" w:sz="0" w:space="0" w:color="auto"/>
                        <w:left w:val="none" w:sz="0" w:space="0" w:color="auto"/>
                        <w:bottom w:val="none" w:sz="0" w:space="0" w:color="auto"/>
                        <w:right w:val="none" w:sz="0" w:space="0" w:color="auto"/>
                      </w:divBdr>
                    </w:div>
                    <w:div w:id="139542782">
                      <w:marLeft w:val="0"/>
                      <w:marRight w:val="0"/>
                      <w:marTop w:val="0"/>
                      <w:marBottom w:val="0"/>
                      <w:divBdr>
                        <w:top w:val="none" w:sz="0" w:space="0" w:color="auto"/>
                        <w:left w:val="none" w:sz="0" w:space="0" w:color="auto"/>
                        <w:bottom w:val="none" w:sz="0" w:space="0" w:color="auto"/>
                        <w:right w:val="none" w:sz="0" w:space="0" w:color="auto"/>
                      </w:divBdr>
                    </w:div>
                    <w:div w:id="1966547313">
                      <w:marLeft w:val="0"/>
                      <w:marRight w:val="0"/>
                      <w:marTop w:val="0"/>
                      <w:marBottom w:val="0"/>
                      <w:divBdr>
                        <w:top w:val="none" w:sz="0" w:space="0" w:color="auto"/>
                        <w:left w:val="none" w:sz="0" w:space="0" w:color="auto"/>
                        <w:bottom w:val="none" w:sz="0" w:space="0" w:color="auto"/>
                        <w:right w:val="none" w:sz="0" w:space="0" w:color="auto"/>
                      </w:divBdr>
                    </w:div>
                    <w:div w:id="19801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791985">
      <w:bodyDiv w:val="1"/>
      <w:marLeft w:val="0"/>
      <w:marRight w:val="0"/>
      <w:marTop w:val="0"/>
      <w:marBottom w:val="0"/>
      <w:divBdr>
        <w:top w:val="none" w:sz="0" w:space="0" w:color="auto"/>
        <w:left w:val="none" w:sz="0" w:space="0" w:color="auto"/>
        <w:bottom w:val="none" w:sz="0" w:space="0" w:color="auto"/>
        <w:right w:val="none" w:sz="0" w:space="0" w:color="auto"/>
      </w:divBdr>
      <w:divsChild>
        <w:div w:id="1110514935">
          <w:marLeft w:val="0"/>
          <w:marRight w:val="0"/>
          <w:marTop w:val="0"/>
          <w:marBottom w:val="0"/>
          <w:divBdr>
            <w:top w:val="none" w:sz="0" w:space="0" w:color="auto"/>
            <w:left w:val="none" w:sz="0" w:space="0" w:color="auto"/>
            <w:bottom w:val="none" w:sz="0" w:space="0" w:color="auto"/>
            <w:right w:val="none" w:sz="0" w:space="0" w:color="auto"/>
          </w:divBdr>
        </w:div>
        <w:div w:id="863904646">
          <w:marLeft w:val="0"/>
          <w:marRight w:val="0"/>
          <w:marTop w:val="300"/>
          <w:marBottom w:val="300"/>
          <w:divBdr>
            <w:top w:val="none" w:sz="0" w:space="0" w:color="auto"/>
            <w:left w:val="none" w:sz="0" w:space="0" w:color="auto"/>
            <w:bottom w:val="none" w:sz="0" w:space="0" w:color="auto"/>
            <w:right w:val="none" w:sz="0" w:space="0" w:color="auto"/>
          </w:divBdr>
        </w:div>
        <w:div w:id="1216549407">
          <w:marLeft w:val="0"/>
          <w:marRight w:val="0"/>
          <w:marTop w:val="600"/>
          <w:marBottom w:val="0"/>
          <w:divBdr>
            <w:top w:val="none" w:sz="0" w:space="0" w:color="auto"/>
            <w:left w:val="none" w:sz="0" w:space="0" w:color="auto"/>
            <w:bottom w:val="none" w:sz="0" w:space="0" w:color="auto"/>
            <w:right w:val="none" w:sz="0" w:space="0" w:color="auto"/>
          </w:divBdr>
          <w:divsChild>
            <w:div w:id="1366830722">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iasb/"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ec.gov/news/statement/munter-gerding-statement-ifrs19-051724" TargetMode="External"/><Relationship Id="rId12" Type="http://schemas.openxmlformats.org/officeDocument/2006/relationships/hyperlink" Target="https://www.sec.gov/news/speeches-statements?aId=edit-news-type&amp;field_person_target_id=&amp;year=All&amp;speaker=&amp;news_type=Statement" TargetMode="External"/><Relationship Id="rId1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hyperlink" Target="https://www.sec.gov/page/communicating-oca" TargetMode="External"/><Relationship Id="rId1" Type="http://schemas.openxmlformats.org/officeDocument/2006/relationships/styles" Target="styles.xml"/><Relationship Id="rId6" Type="http://schemas.openxmlformats.org/officeDocument/2006/relationships/hyperlink" Target="https://www.xbrl.org/news/new-standard-simplifies-subsidiary-financial-reporting/" TargetMode="External"/><Relationship Id="rId11" Type="http://schemas.openxmlformats.org/officeDocument/2006/relationships/image" Target="media/image2.png"/><Relationship Id="rId5" Type="http://schemas.openxmlformats.org/officeDocument/2006/relationships/hyperlink" Target="https://www.xbrl.org/news/sec-responds-to-new-ifrs-19-standard/" TargetMode="External"/><Relationship Id="rId15" Type="http://schemas.openxmlformats.org/officeDocument/2006/relationships/hyperlink" Target="https://www.sec.gov/about/divisions-offices/division-corporation-finance/contact-us" TargetMode="External"/><Relationship Id="rId10" Type="http://schemas.openxmlformats.org/officeDocument/2006/relationships/hyperlink" Target="https://www.xbrl.org/tag/sec/"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www.xbrl.org/tag/ifrs-19/" TargetMode="External"/><Relationship Id="rId14" Type="http://schemas.openxmlformats.org/officeDocument/2006/relationships/hyperlink" Target="https://www.sec.gov/news/speech/gensler-remarks-iac-09212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2670</Words>
  <Characters>14686</Characters>
  <Application>Microsoft Office Word</Application>
  <DocSecurity>0</DocSecurity>
  <Lines>122</Lines>
  <Paragraphs>34</Paragraphs>
  <ScaleCrop>false</ScaleCrop>
  <Company/>
  <LinksUpToDate>false</LinksUpToDate>
  <CharactersWithSpaces>17322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cp:lastModifiedBy>
  <cp:revision>3</cp:revision>
  <dcterms:created xsi:type="dcterms:W3CDTF">2024-05-30T02:38:00Z</dcterms:created>
  <dcterms:modified xsi:type="dcterms:W3CDTF">2024-07-02T03:51:00Z</dcterms:modified>
</cp:coreProperties>
</file>