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75F12" w14:textId="72B397DF" w:rsidR="0096735E" w:rsidRPr="002E35BA" w:rsidRDefault="0096735E" w:rsidP="0096735E">
      <w:pPr>
        <w:rPr>
          <w:rFonts w:ascii="Arial Nova Cond" w:hAnsi="Arial Nova Cond"/>
          <w:sz w:val="28"/>
          <w:szCs w:val="28"/>
        </w:rPr>
      </w:pPr>
      <w:r w:rsidRPr="002E35BA">
        <w:rPr>
          <w:rFonts w:ascii="Arial Nova Cond" w:hAnsi="Arial Nova Cond"/>
          <w:sz w:val="28"/>
          <w:szCs w:val="28"/>
        </w:rPr>
        <w:t>Las bolsas de valores de China exigen informes ESG - Lo que necesita saber</w:t>
      </w:r>
    </w:p>
    <w:p w14:paraId="1C01E6E3" w14:textId="699B986E" w:rsidR="0096735E" w:rsidRPr="0096735E" w:rsidRDefault="0096735E" w:rsidP="0096735E">
      <w:r w:rsidRPr="0096735E">
        <w:rPr>
          <w:noProof/>
        </w:rPr>
        <w:drawing>
          <wp:inline distT="0" distB="0" distL="0" distR="0" wp14:anchorId="0F9E412F" wp14:editId="741BCD30">
            <wp:extent cx="5612130" cy="374142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2039A8D5" w14:textId="17ED5343" w:rsidR="002E35BA" w:rsidRPr="0096735E" w:rsidRDefault="002E35BA" w:rsidP="002E35BA">
      <w:r w:rsidRPr="0096735E">
        <w:t>Publicado el 23 de febrero de 2024 por</w:t>
      </w:r>
      <w:r>
        <w:t xml:space="preserve"> </w:t>
      </w:r>
      <w:hyperlink r:id="rId5" w:history="1">
        <w:r w:rsidRPr="0096735E">
          <w:rPr>
            <w:rStyle w:val="Hipervnculo"/>
            <w:b/>
            <w:bCs/>
          </w:rPr>
          <w:t>Editor</w:t>
        </w:r>
      </w:hyperlink>
    </w:p>
    <w:p w14:paraId="10035228" w14:textId="78F85BEA" w:rsidR="0096735E" w:rsidRPr="0096735E" w:rsidRDefault="0096735E" w:rsidP="0096735E">
      <w:pPr>
        <w:jc w:val="both"/>
      </w:pPr>
      <w:r w:rsidRPr="0096735E">
        <w:t>Los principales mercados bursátiles de China, incluida la Bolsa de Valores de Shanghái (SSE), la Bolsa de Valores de Shenzhen (SZSE) y la Bolsa de Valores de Beijing (BJSE), más pequeña y orientada a las PYME, han revelado recientemente nuevas directrices para la presentación de informes de sostenibilidad para las empresas que cotizan en bolsa.</w:t>
      </w:r>
      <w:r>
        <w:t xml:space="preserve"> </w:t>
      </w:r>
      <w:r w:rsidRPr="0096735E">
        <w:t>Esta medida marca un paso significativo para alinearse con las tendencias globales hacia los estándares de divulgación ESG (ambientales, sociales y de gobernanza). En particular, estas directrices introducen un requisito obligatorio para que los emisores de mayor capitalización y de doble cotización revelen una amplia gama de temas ESG a partir de 2026.</w:t>
      </w:r>
    </w:p>
    <w:p w14:paraId="6A738B24" w14:textId="77777777" w:rsidR="0096735E" w:rsidRPr="0096735E" w:rsidRDefault="0096735E" w:rsidP="0096735E">
      <w:pPr>
        <w:jc w:val="both"/>
      </w:pPr>
      <w:r w:rsidRPr="0096735E">
        <w:t>Si bien, desafortunadamente para la comparabilidad de los datos, estas pautas aún no especifican el uso de un estándar de presentación de informes en particular, enfatizan la necesidad de informes integrales en cuatro áreas de contenido centrales: gobernanza, estrategia, impacto e indicadores y objetivos.</w:t>
      </w:r>
    </w:p>
    <w:p w14:paraId="6DADD046" w14:textId="42C5ED4F" w:rsidR="0096735E" w:rsidRPr="0096735E" w:rsidRDefault="0096735E" w:rsidP="0096735E">
      <w:pPr>
        <w:jc w:val="both"/>
      </w:pPr>
      <w:r w:rsidRPr="0096735E">
        <w:t>Las directrices para la presentación de informes se redactaron teniendo en cuenta las características chinas.</w:t>
      </w:r>
      <w:r w:rsidR="002E35BA">
        <w:t xml:space="preserve"> </w:t>
      </w:r>
      <w:r w:rsidRPr="0096735E">
        <w:t xml:space="preserve">Las directrices incluyen requisitos de presentación de informes sobre iniciativas para mitigar los riesgos climáticos y la transición a operaciones bajas en carbono, esfuerzos para conservar la biodiversidad y proteger los ecosistemas, estrategias para reducir los residuos y promover la eficiencia de los recursos en la economía circular, patrones de uso de energía y medidas de eficiencia, medidas para garantizar la integridad y resiliencia de las cadenas de suministro, iniciativas </w:t>
      </w:r>
      <w:r w:rsidRPr="0096735E">
        <w:lastRenderedPageBreak/>
        <w:t>que apoyen el desarrollo rural y la revitalización económica, así como políticas anticorrupción y medidas para prevenir el soborno.</w:t>
      </w:r>
    </w:p>
    <w:p w14:paraId="401BF25C" w14:textId="77777777" w:rsidR="0096735E" w:rsidRPr="0096735E" w:rsidRDefault="0096735E" w:rsidP="0096735E">
      <w:pPr>
        <w:jc w:val="both"/>
      </w:pPr>
      <w:r w:rsidRPr="0096735E">
        <w:t>Si bien es alentador ver la difusión de datos de sostenibilidad, esperamos que en el futuro la bolsa de valores china busque adoptar un estándar de presentación de informes digital e internacional como los creados por el ISSB y/o el GRI. Esto mejoraría la comparabilidad internacional y facilitaría el análisis.</w:t>
      </w:r>
    </w:p>
    <w:p w14:paraId="0B2D80AD" w14:textId="77777777" w:rsidR="0096735E" w:rsidRPr="0096735E" w:rsidRDefault="0096735E" w:rsidP="0096735E">
      <w:pPr>
        <w:jc w:val="both"/>
      </w:pPr>
      <w:r w:rsidRPr="0096735E">
        <w:t>El borrador de las directrices está abierto a comentarios hasta el 29 de febrero, aunque actualmente sólo está disponible en chino.</w:t>
      </w:r>
    </w:p>
    <w:p w14:paraId="6BAE2ABC" w14:textId="5BC00721" w:rsidR="0096735E" w:rsidRPr="0096735E" w:rsidRDefault="0096735E" w:rsidP="0096735E">
      <w:pPr>
        <w:jc w:val="both"/>
      </w:pPr>
      <w:r w:rsidRPr="0096735E">
        <w:t>Para obtener más información sobre estos requisitos de presentación de informes de sostenibilidad y sus implicaciones para las empresas que cotizan en bolsa y los inversores, visite el anuncio original de la Bolsa de Valores de Shanghái</w:t>
      </w:r>
      <w:r w:rsidR="002E35BA">
        <w:t xml:space="preserve"> </w:t>
      </w:r>
      <w:hyperlink r:id="rId6" w:tgtFrame="_blank" w:history="1">
        <w:r w:rsidRPr="0096735E">
          <w:rPr>
            <w:rStyle w:val="Hipervnculo"/>
          </w:rPr>
          <w:t>aquí</w:t>
        </w:r>
      </w:hyperlink>
      <w:r w:rsidR="002E35BA">
        <w:t xml:space="preserve"> </w:t>
      </w:r>
      <w:r w:rsidRPr="0096735E">
        <w:t>(en chino, ¡traductores listos!).</w:t>
      </w:r>
    </w:p>
    <w:p w14:paraId="13AA6FDA" w14:textId="17CF71C3" w:rsidR="0096735E" w:rsidRPr="0096735E" w:rsidRDefault="00263096" w:rsidP="0096735E">
      <w:hyperlink r:id="rId7" w:history="1">
        <w:r w:rsidR="0096735E" w:rsidRPr="0096735E">
          <w:rPr>
            <w:rStyle w:val="Hipervnculo"/>
          </w:rPr>
          <w:t>Bolsa de Valores</w:t>
        </w:r>
        <w:r w:rsidR="002E35BA">
          <w:rPr>
            <w:rStyle w:val="Hipervnculo"/>
          </w:rPr>
          <w:t xml:space="preserve"> </w:t>
        </w:r>
      </w:hyperlink>
      <w:hyperlink r:id="rId8" w:history="1">
        <w:r w:rsidR="0096735E" w:rsidRPr="0096735E">
          <w:rPr>
            <w:rStyle w:val="Hipervnculo"/>
          </w:rPr>
          <w:t>ESG</w:t>
        </w:r>
        <w:r w:rsidR="002E35BA">
          <w:rPr>
            <w:rStyle w:val="Hipervnculo"/>
          </w:rPr>
          <w:t xml:space="preserve"> </w:t>
        </w:r>
      </w:hyperlink>
      <w:hyperlink r:id="rId9" w:history="1">
        <w:r w:rsidR="0096735E" w:rsidRPr="0096735E">
          <w:rPr>
            <w:rStyle w:val="Hipervnculo"/>
          </w:rPr>
          <w:t>de China</w:t>
        </w:r>
      </w:hyperlink>
    </w:p>
    <w:p w14:paraId="0C91B3EC" w14:textId="61F040F8" w:rsidR="0096735E" w:rsidRPr="0096735E" w:rsidRDefault="0096735E" w:rsidP="0096735E"/>
    <w:p w14:paraId="239CA620" w14:textId="013A1AB7" w:rsidR="00DE7905" w:rsidRDefault="00DE7905"/>
    <w:p w14:paraId="2D1F86A5" w14:textId="2D7D2935" w:rsidR="0096735E" w:rsidRDefault="0096735E"/>
    <w:p w14:paraId="35A29D40" w14:textId="3A776AEB" w:rsidR="0096735E" w:rsidRDefault="0096735E"/>
    <w:p w14:paraId="124D8042" w14:textId="423E1102" w:rsidR="0096735E" w:rsidRDefault="0096735E"/>
    <w:p w14:paraId="621F59EF" w14:textId="67CA085A" w:rsidR="0096735E" w:rsidRDefault="0096735E"/>
    <w:p w14:paraId="4CAF5F6D" w14:textId="7EECC6AA" w:rsidR="0096735E" w:rsidRDefault="0096735E"/>
    <w:p w14:paraId="5C8E6171" w14:textId="5D3D054A" w:rsidR="0096735E" w:rsidRDefault="0096735E"/>
    <w:p w14:paraId="0900CE8A" w14:textId="7818B7AF" w:rsidR="0096735E" w:rsidRDefault="0096735E"/>
    <w:p w14:paraId="674BB1A1" w14:textId="5DEA4D78" w:rsidR="0096735E" w:rsidRDefault="0096735E"/>
    <w:p w14:paraId="00AAE896" w14:textId="77777777" w:rsidR="0096735E" w:rsidRDefault="0096735E"/>
    <w:p w14:paraId="4581F76E" w14:textId="37A97CDD" w:rsidR="0096735E" w:rsidRDefault="0096735E"/>
    <w:p w14:paraId="7C27F0DE" w14:textId="23505E00" w:rsidR="0096735E" w:rsidRDefault="0096735E"/>
    <w:p w14:paraId="5D32E876" w14:textId="050CD522" w:rsidR="0096735E" w:rsidRDefault="0096735E"/>
    <w:p w14:paraId="585919CB" w14:textId="6D3F7389" w:rsidR="0096735E" w:rsidRDefault="0096735E"/>
    <w:p w14:paraId="36403319" w14:textId="0C4C09CE" w:rsidR="0096735E" w:rsidRDefault="0096735E"/>
    <w:p w14:paraId="5C20CDA5" w14:textId="717E1A6A" w:rsidR="002E35BA" w:rsidRDefault="002E35BA"/>
    <w:p w14:paraId="0DC84ECB" w14:textId="77777777" w:rsidR="002E35BA" w:rsidRDefault="002E35BA"/>
    <w:p w14:paraId="20F3C1D5" w14:textId="404DA928" w:rsidR="0096735E" w:rsidRDefault="0096735E">
      <w:r w:rsidRPr="0096735E">
        <w:rPr>
          <w:noProof/>
        </w:rPr>
        <w:lastRenderedPageBreak/>
        <w:drawing>
          <wp:inline distT="0" distB="0" distL="0" distR="0" wp14:anchorId="7E5F30A1" wp14:editId="7A579D86">
            <wp:extent cx="5612130" cy="80835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808355"/>
                    </a:xfrm>
                    <a:prstGeom prst="rect">
                      <a:avLst/>
                    </a:prstGeom>
                  </pic:spPr>
                </pic:pic>
              </a:graphicData>
            </a:graphic>
          </wp:inline>
        </w:drawing>
      </w:r>
    </w:p>
    <w:p w14:paraId="4C321A71" w14:textId="092C6B92" w:rsidR="0096735E" w:rsidRPr="0096735E" w:rsidRDefault="0096735E" w:rsidP="0096735E">
      <w:pPr>
        <w:jc w:val="both"/>
        <w:rPr>
          <w:sz w:val="28"/>
          <w:szCs w:val="28"/>
        </w:rPr>
      </w:pPr>
      <w:r w:rsidRPr="0096735E">
        <w:rPr>
          <w:sz w:val="28"/>
          <w:szCs w:val="28"/>
        </w:rPr>
        <w:t>La Bolsa de Valores de Shanghái solicita públicamente opiniones sobre las "Directrices de autorregulación de la Bolsa de Valores de Shanghái para empresas que cotizan en bolsa N</w:t>
      </w:r>
      <w:r>
        <w:rPr>
          <w:sz w:val="28"/>
          <w:szCs w:val="28"/>
        </w:rPr>
        <w:t>o.</w:t>
      </w:r>
      <w:r w:rsidRPr="0096735E">
        <w:rPr>
          <w:sz w:val="28"/>
          <w:szCs w:val="28"/>
        </w:rPr>
        <w:t xml:space="preserve"> 14 - Informes de sostenibilidad (ensayo) (borrador para comentarios)"</w:t>
      </w:r>
    </w:p>
    <w:p w14:paraId="392D50FF" w14:textId="77777777" w:rsidR="0096735E" w:rsidRPr="0096735E" w:rsidRDefault="0096735E" w:rsidP="0096735E">
      <w:r w:rsidRPr="0096735E">
        <w:t>2024-02-08</w:t>
      </w:r>
    </w:p>
    <w:p w14:paraId="1A89085A" w14:textId="48B8C069" w:rsidR="0096735E" w:rsidRPr="0096735E" w:rsidRDefault="0096735E" w:rsidP="0096735E">
      <w:pPr>
        <w:jc w:val="both"/>
      </w:pPr>
      <w:r w:rsidRPr="0096735E">
        <w:t xml:space="preserve">Recientemente, bajo el despliegue unificado de la Comisión Reguladora de Valores de China, la Bolsa de Valores de Shanghái ha formulado las "Directrices de autorregulación de la Bolsa de Valores de Shanghái para empresas que cotizan en bolsa No. 14 - Informes de sostenibilidad (ensayo) (borrador para comentarios)" (en adelante denominado como las "Directrices" </w:t>
      </w:r>
      <w:r w:rsidRPr="0096735E">
        <w:rPr>
          <w:rFonts w:ascii="MS Gothic" w:eastAsia="MS Gothic" w:hAnsi="MS Gothic" w:cs="MS Gothic" w:hint="eastAsia"/>
        </w:rPr>
        <w:t>》</w:t>
      </w:r>
      <w:r w:rsidRPr="0096735E">
        <w:t>) y solicitar públicamente opiniones del mercado. La formulación de las "Directrices" es un acuerdo institucional importante para que la Bolsa de Valores de Shanghái implemente cabalmente los requisitos generales del XX Congreso Nacional del Partido Comunista de China sobre la promoción de la transformación del desarrollo económico y social, el despliegue estratégico bajo en carbono y la Conferencia Central de Trabajo Financiero sobre los cinco artículos principales, incluidas las finanzas verdes, que también es una medida de trabajo específica para implementar el "Plan de acción de tres años para promover la mejora de la calidad de las empresas que cotizan en bolsa" de la Comisión Reguladora de Valores de China (2022-2025) ". Las "Directrices" tienen como objetivo ejercer mejor la función central del mercado de capitales, promover la mejora de la calidad de las empresas que cotizan en bolsa, el valor de las inversiones y los niveles de rendimiento de los inversores mediante el fortalecimiento de la divulgación de información sobre el desarrollo sostenible, orientar diversos elementos a reunir en el campo de desarrollo sostenible, y promover los objetivos duales de carbono. Lograr el desarrollo sostenible de la economía, la sociedad y el medio ambiente.</w:t>
      </w:r>
    </w:p>
    <w:p w14:paraId="161223A3" w14:textId="23AF0BAD" w:rsidR="0096735E" w:rsidRPr="0096735E" w:rsidRDefault="0096735E" w:rsidP="0096735E">
      <w:pPr>
        <w:jc w:val="both"/>
      </w:pPr>
      <w:r w:rsidRPr="0096735E">
        <w:rPr>
          <w:rFonts w:ascii="MS Gothic" w:eastAsia="MS Gothic" w:hAnsi="MS Gothic" w:cs="MS Gothic" w:hint="eastAsia"/>
        </w:rPr>
        <w:t xml:space="preserve">　　</w:t>
      </w:r>
      <w:r w:rsidRPr="0096735E">
        <w:t xml:space="preserve">En los últimos años, con la participación activa y el fuerte apoyo de todas las partes del mercado, la Bolsa de Valores de Shanghái ha seguido guiando a las empresas que cotizan en bolsa para que divulguen informes de desarrollo sostenible y continúen explorando la integración de conceptos de desarrollo sostenible en la inversión y la financiación de la construcción. En 2023, un total de 1.023 empresas que cotizan en la Bolsa de Valores de Shanghái publicaron sus informes de responsabilidad social, informes ESG o informes de desarrollo sostenible de 2022, con una tasa de divulgación que alcanzó el 47%, y tanto el número como la proporción de divulgaciones alcanzaron un nuevo máximo. La tasa de divulgación de informes de las empresas de la muestra del Índice SSE 50 y Ciencia y Tecnología 50 y de las empresas que cotizan simultáneamente en el país y en el extranjero es cercana al 100%, y la tasa de divulgación de informes de las empresas de la muestra del Índice SSE 180 supera el 90%. En lo que respecta a la financiación, en los últimos tres años ha apoyado a 68 nuevas empresas de energía, ahorro de energía y protección del medio ambiente en sus salidas a bolsa en la Bolsa de Valores de Shanghái, recaudando 116.900 millones de yuanes, ha apoyado a empresas de industrias emergentes sostenibles y con bajas emisiones de carbono para refinanciar 97 mil millones de yuanes y apoyar a las empresas en la emisión de bonos corporativos </w:t>
      </w:r>
      <w:r w:rsidRPr="0096735E">
        <w:lastRenderedPageBreak/>
        <w:t xml:space="preserve">y valores respaldados por activos respetuosos con el medio ambiente, bonos vinculados a la transformación con bajas emisiones de carbono, bonos vinculados a la sostenibilidad, etc., 473,6 mil millones de yuanes. En lo que respecta a las inversiones, la Bolsa de Valores de Shanghái y el Índice de Valores de China han publicado un total de 138 índices ESG y otros índices de desarrollo sostenible, incluidos 104 índices bursátiles, 31 índices de bonos y 3 índices multiactivos, a los que siguen 86 productos de fondos. con una escala de más de 100 mil millones de yuanes. El número de ETF ESG y otros ETF de desarrollo sostenible que cotizan en la Bolsa de Valores de Shanghái ha llegado a 43, con una escala de más de 60 mil millones de yuanes. La evaluación CSI ESG se ha aplicado a la gestión de carteras de inversiones de más de 100 instituciones, como fondos de pensiones, fondos públicos, gestión de patrimonio bancario, gestión de activos de seguros y gestión de activos de corretaje, brindando asistencia para orientar la sostenibilidad, el largo plazo, el valor </w:t>
      </w:r>
      <w:r>
        <w:t>e</w:t>
      </w:r>
      <w:r w:rsidRPr="0096735E">
        <w:t xml:space="preserve"> inversiones racionales. Estos intentos y esfuerzos han promovido la formación de una buena ecología de mercado de desarrollo sostenible y han acumulado experiencia útil para el establecimiento de un sistema de informes de sostenibilidad con estándares relativamente unificados.</w:t>
      </w:r>
    </w:p>
    <w:p w14:paraId="50EDEDDE" w14:textId="69CE7E1F" w:rsidR="0096735E" w:rsidRPr="0096735E" w:rsidRDefault="0096735E" w:rsidP="0096735E">
      <w:pPr>
        <w:jc w:val="both"/>
      </w:pPr>
      <w:r w:rsidRPr="0096735E">
        <w:t>Durante el proceso de redacción de las Directrices, la Bolsa de Valores de Shanghái se adhirió a las siguientes ideas generales.</w:t>
      </w:r>
      <w:r w:rsidR="002E35BA">
        <w:t xml:space="preserve"> </w:t>
      </w:r>
      <w:r w:rsidRPr="0096735E">
        <w:rPr>
          <w:b/>
          <w:bCs/>
        </w:rPr>
        <w:t>El primero es reflejar las características chinas.</w:t>
      </w:r>
      <w:r w:rsidR="002E35BA">
        <w:rPr>
          <w:b/>
          <w:bCs/>
        </w:rPr>
        <w:t xml:space="preserve"> </w:t>
      </w:r>
      <w:r w:rsidRPr="0096735E">
        <w:t>Sobre la base de las condiciones nacionales de mi país, las condiciones del mercado y la situación real del mercado de capitales, aprovechando los sistemas de divulgación nacionales y extranjeros, la experiencia de divulgación de las empresas que cotizan en bolsa y las mejores prácticas, establecemos temas importantes que reflejan las características chinas, como la revitalización rural, la innovación impulsada. , y la igualdad de trato de las pequeñas y medianas empresas, reflejando plenamente los valores y prioridades potenciales de nuestro país en el campo del desarrollo sostenible.</w:t>
      </w:r>
      <w:r w:rsidR="002E35BA">
        <w:t xml:space="preserve"> </w:t>
      </w:r>
      <w:r w:rsidRPr="0096735E">
        <w:rPr>
          <w:b/>
          <w:bCs/>
        </w:rPr>
        <w:t>El segundo es buscar la verdad a partir de los hechos.</w:t>
      </w:r>
      <w:r w:rsidR="002E35BA">
        <w:rPr>
          <w:b/>
          <w:bCs/>
        </w:rPr>
        <w:t xml:space="preserve"> </w:t>
      </w:r>
      <w:r w:rsidRPr="0096735E">
        <w:t>Considerar plenamente la etapa de desarrollo y las capacidades de divulgación de las empresas que cotizan en bolsa, y lograr igualar costos y beneficios combinando divulgaciones obligatorias y voluntarias, combinando divulgaciones cualitativas y cuantitativas, estableciendo períodos de transición y medidas de mitigación, etc.</w:t>
      </w:r>
      <w:r w:rsidR="002E35BA">
        <w:t xml:space="preserve"> </w:t>
      </w:r>
      <w:r w:rsidRPr="0096735E">
        <w:rPr>
          <w:b/>
          <w:bCs/>
        </w:rPr>
        <w:t>El tercero es adherirse al pensamiento sistemático.</w:t>
      </w:r>
      <w:r w:rsidR="002E35BA">
        <w:rPr>
          <w:b/>
          <w:bCs/>
        </w:rPr>
        <w:t xml:space="preserve"> </w:t>
      </w:r>
      <w:r w:rsidRPr="0096735E">
        <w:t>Ayudar a las empresas que cotizan en bolsa a construir un mecanismo de gobernanza completo relacionado con el desarrollo sostenible, aclarar el marco de divulgación creado con "gobernanza-estrategia-impacto, gestión de riesgos y oportunidades-indicadores y objetivos" como elementos centrales, e impulsar a las empresas de alto nivel con una mejor gobernanza interna. y acciones específicas Divulgación de calidad.</w:t>
      </w:r>
    </w:p>
    <w:p w14:paraId="52CB4CB1" w14:textId="13277434" w:rsidR="0096735E" w:rsidRPr="0096735E" w:rsidRDefault="0096735E" w:rsidP="0096735E">
      <w:pPr>
        <w:jc w:val="both"/>
      </w:pPr>
      <w:r w:rsidRPr="0096735E">
        <w:t>Con base en el contenido de las reglas actuales, las Directrices absorben activamente la experiencia útil y el amplio consenso nacional y extranjero para enriquecer y mejorar aún más los requisitos de divulgación de información para el desarrollo sostenible. Hay 6 capítulos y 58 artículos en total, y 20 temas específicos colocar.</w:t>
      </w:r>
    </w:p>
    <w:p w14:paraId="5C4A037B" w14:textId="67901AC7" w:rsidR="0096735E" w:rsidRPr="0096735E" w:rsidRDefault="0096735E" w:rsidP="0096735E">
      <w:pPr>
        <w:jc w:val="both"/>
      </w:pPr>
      <w:r w:rsidRPr="0096735E">
        <w:t>En cuanto al contenido de las normas,</w:t>
      </w:r>
      <w:r w:rsidR="002E35BA">
        <w:t xml:space="preserve"> </w:t>
      </w:r>
      <w:r w:rsidRPr="0096735E">
        <w:rPr>
          <w:b/>
          <w:bCs/>
        </w:rPr>
        <w:t>la primera es establecer un marco de divulgación de información sobre desarrollo sostenible.</w:t>
      </w:r>
      <w:r w:rsidR="002E35BA">
        <w:rPr>
          <w:b/>
          <w:bCs/>
        </w:rPr>
        <w:t xml:space="preserve"> </w:t>
      </w:r>
      <w:r w:rsidRPr="0096735E">
        <w:t>Las empresas que cotizan en bolsa deben analizar y divulgar los temas que se divulgarán en torno a los cuatro contenidos centrales de gobernanza, estrategia, impacto, gestión de riesgos y oportunidades, indicadores y objetivos, para que los inversores y las partes interesadas puedan comprender plenamente los esfuerzos de las empresas que cotizan en bolsa para afrontar y gestionar. desarrollo sostenible Acciones tomadas para desarrollar impactos, riesgos y oportunidades relevantes.</w:t>
      </w:r>
      <w:r w:rsidR="002E35BA">
        <w:t xml:space="preserve"> </w:t>
      </w:r>
      <w:r w:rsidRPr="0096735E">
        <w:rPr>
          <w:b/>
          <w:bCs/>
        </w:rPr>
        <w:t xml:space="preserve">El segundo es aclarar las cuestiones de </w:t>
      </w:r>
      <w:r w:rsidRPr="0096735E">
        <w:rPr>
          <w:b/>
          <w:bCs/>
        </w:rPr>
        <w:lastRenderedPageBreak/>
        <w:t>divulgación ambiental, social y de gobierno corporativo.</w:t>
      </w:r>
      <w:r w:rsidR="002E35BA">
        <w:rPr>
          <w:b/>
          <w:bCs/>
        </w:rPr>
        <w:t xml:space="preserve"> </w:t>
      </w:r>
      <w:r w:rsidRPr="0096735E">
        <w:t xml:space="preserve">El capítulo de divulgación de información ambiental establece temas importantes como abordar el cambio climático, la protección de los ecosistemas y la biodiversidad, la economía circular y el uso de energía. El capítulo de divulgación de información social establece temas importantes como la revitalización rural, el impulso de la innovación, la ética de la ciencia y la tecnología, la seguridad de la cadena de suministro y la igualdad de trato de las pequeñas y medianas empresas. El capítulo de divulgación de información sobre gobierno corporativo establece específicamente temas como anticorrupción, antisoborno y </w:t>
      </w:r>
      <w:r w:rsidR="002E35BA" w:rsidRPr="0096735E">
        <w:t>anti competencia</w:t>
      </w:r>
      <w:r w:rsidRPr="0096735E">
        <w:t xml:space="preserve"> desleal, orientando a las empresas que cotizan en bolsa para que establezcan sistemas de gestión de riesgos, sistemas de capacitación y sistemas de supervisión anticorrupción y antisoborno, y Prevenir riesgos de soborno comercial mediante una combinación de divulgación y gobernanza.</w:t>
      </w:r>
      <w:r w:rsidR="002E35BA">
        <w:t xml:space="preserve"> </w:t>
      </w:r>
      <w:r w:rsidRPr="0096735E">
        <w:rPr>
          <w:b/>
          <w:bCs/>
        </w:rPr>
        <w:t>El tercero es reducir adecuadamente los estándares de divulgación en función de las condiciones reales.</w:t>
      </w:r>
      <w:r w:rsidR="002E35BA">
        <w:rPr>
          <w:b/>
          <w:bCs/>
        </w:rPr>
        <w:t xml:space="preserve"> </w:t>
      </w:r>
      <w:r w:rsidRPr="0096735E">
        <w:t>Teniendo en cuenta que las empresas que cotizan en bolsa en mi país tienen una base relativamente débil en materia de divulgación climática y otros aspectos, las "Directrices" han reducido adecuadamente la dificultad de la divulgación en algunos temas. Por ejemplo, no existen requisitos obligatorios para las emisiones de carbono de aguas arriba y aguas abajo. cadenas industriales, emisiones de carbono de asociados y empresas conjuntas, análisis de escenarios, etc. Nos centramos en promover cambios de comportamiento y no buscamos deliberadamente la perfección de la divulgación de información, para lograr un comienzo estable y promover gradualmente a la empresa para fortalecer la divulgación.</w:t>
      </w:r>
    </w:p>
    <w:p w14:paraId="1E747614" w14:textId="5F7457D4" w:rsidR="0096735E" w:rsidRPr="0096735E" w:rsidRDefault="0096735E" w:rsidP="0096735E">
      <w:pPr>
        <w:jc w:val="both"/>
      </w:pPr>
      <w:r w:rsidRPr="0096735E">
        <w:t>En términos de implementación de reglas,</w:t>
      </w:r>
      <w:r w:rsidR="002E35BA">
        <w:t xml:space="preserve"> </w:t>
      </w:r>
      <w:r w:rsidRPr="0096735E">
        <w:rPr>
          <w:b/>
          <w:bCs/>
        </w:rPr>
        <w:t>en primer lugar, la divulgación obligatoria se combina con la divulgación voluntaria.</w:t>
      </w:r>
      <w:r w:rsidR="002E35BA">
        <w:rPr>
          <w:b/>
          <w:bCs/>
        </w:rPr>
        <w:t xml:space="preserve"> </w:t>
      </w:r>
      <w:r w:rsidRPr="0096735E">
        <w:t>En términos de entidades de divulgación, las empresas que se incluyen continuamente en las muestras del índice SSE 180 y Science and Technology Innovation 50 durante el período del informe, así como las empresas que cotizan en el país y en el extranjero al mismo tiempo, deben divulgar el "Informe de sostenibilidad" y alentar a otras empresas que cotizan en bolsa a revelar voluntariamente.</w:t>
      </w:r>
      <w:r w:rsidR="002E35BA">
        <w:t xml:space="preserve"> </w:t>
      </w:r>
      <w:r w:rsidRPr="0096735E">
        <w:t>En cuanto a las cuestiones de divulgación, se establecen requisitos de divulgación diferenciados para diferentes cuestiones según los niveles de divulgación obligatoria, divulgación guiada y divulgación fomentada.</w:t>
      </w:r>
      <w:r w:rsidR="002E35BA">
        <w:t xml:space="preserve"> </w:t>
      </w:r>
      <w:r w:rsidRPr="0096735E">
        <w:rPr>
          <w:b/>
          <w:bCs/>
        </w:rPr>
        <w:t>El segundo es combinar la divulgación cualitativa con la divulgación cuantitativa.</w:t>
      </w:r>
      <w:r w:rsidR="002E35BA">
        <w:rPr>
          <w:b/>
          <w:bCs/>
        </w:rPr>
        <w:t xml:space="preserve"> </w:t>
      </w:r>
      <w:r w:rsidRPr="0096735E">
        <w:t>Las entidades de divulgación deben revelar algunas cuestiones importantes de manera cualitativa y cuantitativa para facilitar las comparaciones horizontales y verticales por parte de inversores y partes interesadas. Al mismo tiempo, las normas establecen medidas de mitigación de la divulgación cuantitativa: en el primer período de informe, las empresas que cotizan en bolsa pueden hacer divulgaciones cualitativas y explicar las razones de los indicadores que son difíciles de divulgar cuantitativamente.</w:t>
      </w:r>
      <w:r w:rsidR="002E35BA">
        <w:t xml:space="preserve"> </w:t>
      </w:r>
      <w:r w:rsidRPr="0096735E">
        <w:rPr>
          <w:b/>
          <w:bCs/>
        </w:rPr>
        <w:t>El tercero es proporcionar acuerdos transitorios y otras medidas de mitigación.</w:t>
      </w:r>
      <w:r w:rsidR="002E35BA">
        <w:rPr>
          <w:b/>
          <w:bCs/>
        </w:rPr>
        <w:t xml:space="preserve"> </w:t>
      </w:r>
      <w:r w:rsidRPr="0096735E">
        <w:t>Con el fin de dar a las empresas que cotizan en bolsa suficiente tiempo para prepararse para el desarrollo de capacidades y la implementación, las empresas que cotizan en bolsa que deben divulgar el Informe de Sostenibilidad pueden divulgar el Informe de Sostenibilidad 2025 por primera vez en 2026. En términos de análisis financiero, si a la entidad que divulga le resulta difícil revelar cuantitativamente el impacto de los riesgos y oportunidades relacionados con el desarrollo sostenible en la situación financiera actual durante los períodos de presentación de informes de 2025 y 2026, solo podrá hacer revelaciones cualitativas.</w:t>
      </w:r>
    </w:p>
    <w:p w14:paraId="74E2A26C" w14:textId="100FA743" w:rsidR="0096735E" w:rsidRPr="0096735E" w:rsidRDefault="0096735E" w:rsidP="0096735E">
      <w:pPr>
        <w:jc w:val="both"/>
      </w:pPr>
      <w:r w:rsidRPr="0096735E">
        <w:t xml:space="preserve">Durante el período de solicitud pública, la Bolsa de Valores de Shanghái escuchará las opiniones y sugerencias de los participantes del mercado a través de una variedad de métodos y mejorará aún más las reglas basadas en la solicitud de opiniones bajo la guía de la Comisión Reguladora de Valores </w:t>
      </w:r>
      <w:r w:rsidRPr="0096735E">
        <w:lastRenderedPageBreak/>
        <w:t>de China.</w:t>
      </w:r>
      <w:r w:rsidR="002E35BA">
        <w:t xml:space="preserve"> </w:t>
      </w:r>
      <w:r w:rsidRPr="0096735E">
        <w:t xml:space="preserve">A continuación, la Bolsa de Valores de Shanghái continuará implementando el espíritu del XX Congreso Nacional del Partido Comunista de China y el espíritu de la Conferencia Central de Trabajo Financiero, mejorará continuamente el valor de inversión de las empresas que cotizan en bolsa y los niveles de retorno de los inversores, enriquecerá y mejorará </w:t>
      </w:r>
      <w:r>
        <w:t>el</w:t>
      </w:r>
      <w:r w:rsidRPr="0096735E">
        <w:t xml:space="preserve"> sistema institucional de desarrollo sostenible, sistema de productos y sistema de servicios, y promover el mercado de capitales. Desarrollo de alta calidad.</w:t>
      </w:r>
    </w:p>
    <w:bookmarkStart w:id="0" w:name="6042552"/>
    <w:p w14:paraId="357DFC2D" w14:textId="18A14E1D" w:rsidR="0096735E" w:rsidRPr="0096735E" w:rsidRDefault="0096735E" w:rsidP="0096735E">
      <w:pPr>
        <w:jc w:val="both"/>
      </w:pPr>
      <w:r w:rsidRPr="0096735E">
        <w:fldChar w:fldCharType="begin"/>
      </w:r>
      <w:r w:rsidRPr="0096735E">
        <w:instrText xml:space="preserve"> HYPERLINK "https://www.sse.com.cn/lawandrules/publicadvice/c/c_20240208_5735507.shtml" \o "Aviso sobre la solicitud pública de opiniones sobre las \"Directrices de autorregulación de la Bolsa de Valores de Shanghai para empresas que cotizan en bolsa N° 14 - Informe de sostenibilidad (ensayo) (borrador para comentarios)\"" \t "_blank" </w:instrText>
      </w:r>
      <w:r w:rsidRPr="0096735E">
        <w:fldChar w:fldCharType="separate"/>
      </w:r>
      <w:r w:rsidRPr="0096735E">
        <w:rPr>
          <w:rStyle w:val="Hipervnculo"/>
        </w:rPr>
        <w:t xml:space="preserve">Aviso sobre la solicitud pública de opiniones sobre las "Directrices de autorregulación de la Bolsa de Valores de Shanghai para empresas que cotizan en bolsa </w:t>
      </w:r>
      <w:proofErr w:type="spellStart"/>
      <w:r w:rsidRPr="0096735E">
        <w:rPr>
          <w:rStyle w:val="Hipervnculo"/>
        </w:rPr>
        <w:t>N°</w:t>
      </w:r>
      <w:proofErr w:type="spellEnd"/>
      <w:r w:rsidRPr="0096735E">
        <w:rPr>
          <w:rStyle w:val="Hipervnculo"/>
        </w:rPr>
        <w:t xml:space="preserve"> 14 - Informe de sostenibilidad (ensayo) (borrador para comentarios)"</w:t>
      </w:r>
      <w:r w:rsidRPr="0096735E">
        <w:fldChar w:fldCharType="end"/>
      </w:r>
      <w:bookmarkEnd w:id="0"/>
    </w:p>
    <w:p w14:paraId="72459DB9" w14:textId="24BE4AE5" w:rsidR="0096735E" w:rsidRDefault="0096735E" w:rsidP="0096735E">
      <w:pPr>
        <w:jc w:val="both"/>
      </w:pPr>
    </w:p>
    <w:sectPr w:rsidR="009673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35E"/>
    <w:rsid w:val="002E35BA"/>
    <w:rsid w:val="0096735E"/>
    <w:rsid w:val="00DE79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36932"/>
  <w15:chartTrackingRefBased/>
  <w15:docId w15:val="{A131ADD7-12F6-4C4D-8FC6-5F8AC97E7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6735E"/>
    <w:rPr>
      <w:color w:val="0563C1" w:themeColor="hyperlink"/>
      <w:u w:val="single"/>
    </w:rPr>
  </w:style>
  <w:style w:type="character" w:styleId="Mencinsinresolver">
    <w:name w:val="Unresolved Mention"/>
    <w:basedOn w:val="Fuentedeprrafopredeter"/>
    <w:uiPriority w:val="99"/>
    <w:semiHidden/>
    <w:unhideWhenUsed/>
    <w:rsid w:val="00967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047113">
      <w:bodyDiv w:val="1"/>
      <w:marLeft w:val="0"/>
      <w:marRight w:val="0"/>
      <w:marTop w:val="0"/>
      <w:marBottom w:val="0"/>
      <w:divBdr>
        <w:top w:val="none" w:sz="0" w:space="0" w:color="auto"/>
        <w:left w:val="none" w:sz="0" w:space="0" w:color="auto"/>
        <w:bottom w:val="none" w:sz="0" w:space="0" w:color="auto"/>
        <w:right w:val="none" w:sz="0" w:space="0" w:color="auto"/>
      </w:divBdr>
      <w:divsChild>
        <w:div w:id="319311809">
          <w:marLeft w:val="0"/>
          <w:marRight w:val="0"/>
          <w:marTop w:val="0"/>
          <w:marBottom w:val="0"/>
          <w:divBdr>
            <w:top w:val="none" w:sz="0" w:space="0" w:color="auto"/>
            <w:left w:val="none" w:sz="0" w:space="0" w:color="auto"/>
            <w:bottom w:val="none" w:sz="0" w:space="0" w:color="auto"/>
            <w:right w:val="none" w:sz="0" w:space="0" w:color="auto"/>
          </w:divBdr>
        </w:div>
        <w:div w:id="1200585870">
          <w:marLeft w:val="0"/>
          <w:marRight w:val="0"/>
          <w:marTop w:val="300"/>
          <w:marBottom w:val="300"/>
          <w:divBdr>
            <w:top w:val="none" w:sz="0" w:space="0" w:color="auto"/>
            <w:left w:val="none" w:sz="0" w:space="0" w:color="auto"/>
            <w:bottom w:val="none" w:sz="0" w:space="0" w:color="auto"/>
            <w:right w:val="none" w:sz="0" w:space="0" w:color="auto"/>
          </w:divBdr>
        </w:div>
        <w:div w:id="1156648413">
          <w:marLeft w:val="0"/>
          <w:marRight w:val="0"/>
          <w:marTop w:val="600"/>
          <w:marBottom w:val="0"/>
          <w:divBdr>
            <w:top w:val="none" w:sz="0" w:space="0" w:color="auto"/>
            <w:left w:val="none" w:sz="0" w:space="0" w:color="auto"/>
            <w:bottom w:val="none" w:sz="0" w:space="0" w:color="auto"/>
            <w:right w:val="none" w:sz="0" w:space="0" w:color="auto"/>
          </w:divBdr>
          <w:divsChild>
            <w:div w:id="255871787">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2111123426">
      <w:bodyDiv w:val="1"/>
      <w:marLeft w:val="0"/>
      <w:marRight w:val="0"/>
      <w:marTop w:val="0"/>
      <w:marBottom w:val="0"/>
      <w:divBdr>
        <w:top w:val="none" w:sz="0" w:space="0" w:color="auto"/>
        <w:left w:val="none" w:sz="0" w:space="0" w:color="auto"/>
        <w:bottom w:val="none" w:sz="0" w:space="0" w:color="auto"/>
        <w:right w:val="none" w:sz="0" w:space="0" w:color="auto"/>
      </w:divBdr>
      <w:divsChild>
        <w:div w:id="1225336899">
          <w:marLeft w:val="0"/>
          <w:marRight w:val="0"/>
          <w:marTop w:val="0"/>
          <w:marBottom w:val="300"/>
          <w:divBdr>
            <w:top w:val="none" w:sz="0" w:space="0" w:color="auto"/>
            <w:left w:val="none" w:sz="0" w:space="0" w:color="auto"/>
            <w:bottom w:val="single" w:sz="6" w:space="8" w:color="DDDDDD"/>
            <w:right w:val="none" w:sz="0" w:space="0" w:color="auto"/>
          </w:divBdr>
        </w:div>
        <w:div w:id="823159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esg/" TargetMode="External"/><Relationship Id="rId3" Type="http://schemas.openxmlformats.org/officeDocument/2006/relationships/webSettings" Target="webSettings.xml"/><Relationship Id="rId7" Type="http://schemas.openxmlformats.org/officeDocument/2006/relationships/hyperlink" Target="https://www.xbrl.org/tag/stock-exchang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se.com.cn/aboutus/mediacenter/hotandd/c/c_20240208_5735532.shtml" TargetMode="External"/><Relationship Id="rId11" Type="http://schemas.openxmlformats.org/officeDocument/2006/relationships/fontTable" Target="fontTable.xml"/><Relationship Id="rId5" Type="http://schemas.openxmlformats.org/officeDocument/2006/relationships/hyperlink" Target="https://www.xbrl.org/news/chinas-stock-exchanges-mandate-esg-reporting-what-you-need-to-know/" TargetMode="External"/><Relationship Id="rId10"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hyperlink" Target="https://www.xbrl.org/tag/chi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2388</Words>
  <Characters>13134</Characters>
  <Application>Microsoft Office Word</Application>
  <DocSecurity>0</DocSecurity>
  <Lines>109</Lines>
  <Paragraphs>30</Paragraphs>
  <ScaleCrop>false</ScaleCrop>
  <Company/>
  <LinksUpToDate>false</LinksUpToDate>
  <CharactersWithSpaces>15492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cp:lastModifiedBy>
  <cp:revision>3</cp:revision>
  <dcterms:created xsi:type="dcterms:W3CDTF">2024-02-26T00:57:00Z</dcterms:created>
  <dcterms:modified xsi:type="dcterms:W3CDTF">2024-07-09T03:00:00Z</dcterms:modified>
</cp:coreProperties>
</file>