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DAF0" w14:textId="77777777" w:rsidR="0016236C" w:rsidRPr="0016236C" w:rsidRDefault="0016236C" w:rsidP="0016236C">
      <w:pPr>
        <w:jc w:val="both"/>
        <w:rPr>
          <w:rFonts w:ascii="Arial Nova Cond" w:hAnsi="Arial Nova Cond"/>
          <w:sz w:val="24"/>
          <w:szCs w:val="24"/>
        </w:rPr>
      </w:pPr>
      <w:r w:rsidRPr="0016236C">
        <w:rPr>
          <w:rFonts w:ascii="Arial Nova Cond" w:hAnsi="Arial Nova Cond"/>
          <w:sz w:val="24"/>
          <w:szCs w:val="24"/>
        </w:rPr>
        <w:t>Los Países Bajos dan un paso importante hacia la presentación exclusiva de declaraciones XBRL a partir de 2025</w:t>
      </w:r>
    </w:p>
    <w:p w14:paraId="4080DE52" w14:textId="1EC04435" w:rsidR="0016236C" w:rsidRPr="0016236C" w:rsidRDefault="0016236C" w:rsidP="0016236C">
      <w:pPr>
        <w:jc w:val="both"/>
      </w:pPr>
      <w:r w:rsidRPr="0016236C">
        <w:rPr>
          <w:noProof/>
        </w:rPr>
        <w:drawing>
          <wp:inline distT="0" distB="0" distL="0" distR="0" wp14:anchorId="7E8D77FB" wp14:editId="42CBC7E4">
            <wp:extent cx="5612130" cy="4207510"/>
            <wp:effectExtent l="0" t="0" r="762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4207510"/>
                    </a:xfrm>
                    <a:prstGeom prst="rect">
                      <a:avLst/>
                    </a:prstGeom>
                    <a:noFill/>
                    <a:ln>
                      <a:noFill/>
                    </a:ln>
                  </pic:spPr>
                </pic:pic>
              </a:graphicData>
            </a:graphic>
          </wp:inline>
        </w:drawing>
      </w:r>
    </w:p>
    <w:p w14:paraId="06EC476B" w14:textId="136C5B78" w:rsidR="005E77FE" w:rsidRPr="0016236C" w:rsidRDefault="005E77FE" w:rsidP="005E77FE">
      <w:pPr>
        <w:jc w:val="both"/>
      </w:pPr>
      <w:r w:rsidRPr="0016236C">
        <w:t>Publicado el 28 de junio de 2024 por</w:t>
      </w:r>
      <w:r>
        <w:t xml:space="preserve"> </w:t>
      </w:r>
      <w:hyperlink r:id="rId6" w:history="1">
        <w:r w:rsidRPr="0016236C">
          <w:rPr>
            <w:rStyle w:val="Hipervnculo"/>
            <w:b/>
            <w:bCs/>
          </w:rPr>
          <w:t>Editor</w:t>
        </w:r>
      </w:hyperlink>
    </w:p>
    <w:p w14:paraId="2ADDB746" w14:textId="77777777" w:rsidR="0016236C" w:rsidRPr="0016236C" w:rsidRDefault="0016236C" w:rsidP="0016236C">
      <w:pPr>
        <w:jc w:val="both"/>
      </w:pPr>
      <w:r w:rsidRPr="0016236C">
        <w:t>Los Países Bajos han dado un paso importante al exigir a todas las empresas privadas que presenten sus cuentas anuales ante la Cámara de Comercio exclusivamente en XBRL, a partir del ejercicio económico 2025.El mandato esperado viene en forma de una modificación del Decreto sobre el Registro Mercantil de Presentación Electrónica.</w:t>
      </w:r>
    </w:p>
    <w:p w14:paraId="16CCB6D9" w14:textId="77777777" w:rsidR="0016236C" w:rsidRPr="0016236C" w:rsidRDefault="0016236C" w:rsidP="0016236C">
      <w:pPr>
        <w:jc w:val="both"/>
      </w:pPr>
      <w:r w:rsidRPr="0016236C">
        <w:t>Si se aprueba, la enmienda ampliará el uso de la especificación XBRL Report Package en los Países Bajos. Los paquetes de informes ofrecen una forma de reunir los múltiples componentes de un informe XBRL en un solo archivo. En este caso, incluirán el informe anual en formato XBRL en línea, junto con taxonomías de extensión y otros archivos de apoyo, como imágenes o fuentes. Este nuevo requisito se alinea con las directrices europeas más amplias CSRD (Directiva sobre informes de sostenibilidad corporativa), que estipulan que la información ESG debe incluirse en un informe de gestión etiquetado digitalmente.</w:t>
      </w:r>
    </w:p>
    <w:p w14:paraId="468F6212" w14:textId="77777777" w:rsidR="0016236C" w:rsidRPr="0016236C" w:rsidRDefault="0016236C" w:rsidP="0016236C">
      <w:pPr>
        <w:jc w:val="both"/>
      </w:pPr>
      <w:r w:rsidRPr="0016236C">
        <w:t>Las grandes empresas, junto con sus filiales medianas, deberán cumplir con este nuevo mandato una vez que se adopte. El Sistema de Acuerdo de Informes Comerciales Estándar (SBR) ampliado guiará el proceso de presentación de informes digitales en los Países Bajos, garantizando la coherencia y el cumplimiento de la CSRD.</w:t>
      </w:r>
    </w:p>
    <w:p w14:paraId="05B23212" w14:textId="77777777" w:rsidR="0016236C" w:rsidRPr="0016236C" w:rsidRDefault="0016236C" w:rsidP="0016236C">
      <w:pPr>
        <w:jc w:val="both"/>
      </w:pPr>
      <w:r w:rsidRPr="0016236C">
        <w:lastRenderedPageBreak/>
        <w:t>Los nuevos requisitos están diseñados para mejorar la presentación de informes digitales, con el objetivo de mejorar la transparencia, la eficiencia y la calidad de los datos.</w:t>
      </w:r>
    </w:p>
    <w:p w14:paraId="203794BD" w14:textId="77777777" w:rsidR="0016236C" w:rsidRPr="0016236C" w:rsidRDefault="0016236C" w:rsidP="0016236C">
      <w:pPr>
        <w:jc w:val="both"/>
      </w:pPr>
      <w:r w:rsidRPr="0016236C">
        <w:t>El siguiente paso para la enmienda es ahora el asesoramiento del Consejo de Estado, y se espera que el mandato entre en vigor antes de finales de este año.</w:t>
      </w:r>
    </w:p>
    <w:p w14:paraId="0F51D2FB" w14:textId="24F0E7F4" w:rsidR="0016236C" w:rsidRPr="0016236C" w:rsidRDefault="0016236C" w:rsidP="0016236C">
      <w:pPr>
        <w:jc w:val="both"/>
      </w:pPr>
      <w:r w:rsidRPr="0016236C">
        <w:t>Lea más</w:t>
      </w:r>
      <w:r w:rsidR="005E77FE">
        <w:t xml:space="preserve"> </w:t>
      </w:r>
      <w:hyperlink r:id="rId7" w:tgtFrame="_blank" w:history="1">
        <w:r w:rsidRPr="0016236C">
          <w:rPr>
            <w:rStyle w:val="Hipervnculo"/>
          </w:rPr>
          <w:t>aquí</w:t>
        </w:r>
      </w:hyperlink>
      <w:r w:rsidR="005E77FE">
        <w:t xml:space="preserve"> </w:t>
      </w:r>
      <w:r w:rsidRPr="0016236C">
        <w:t>y</w:t>
      </w:r>
      <w:r w:rsidR="005E77FE">
        <w:t xml:space="preserve"> </w:t>
      </w:r>
      <w:hyperlink r:id="rId8" w:tgtFrame="_blank" w:history="1">
        <w:r w:rsidRPr="0016236C">
          <w:rPr>
            <w:rStyle w:val="Hipervnculo"/>
          </w:rPr>
          <w:t>aquí</w:t>
        </w:r>
      </w:hyperlink>
      <w:r w:rsidR="005E77FE">
        <w:t xml:space="preserve"> </w:t>
      </w:r>
      <w:r w:rsidRPr="0016236C">
        <w:t>(en holandés).</w:t>
      </w:r>
    </w:p>
    <w:p w14:paraId="5117A320" w14:textId="0907A912" w:rsidR="0016236C" w:rsidRPr="0016236C" w:rsidRDefault="00B43270" w:rsidP="0016236C">
      <w:pPr>
        <w:jc w:val="both"/>
      </w:pPr>
      <w:hyperlink r:id="rId9" w:history="1">
        <w:r w:rsidR="0016236C" w:rsidRPr="0016236C">
          <w:rPr>
            <w:rStyle w:val="Hipervnculo"/>
          </w:rPr>
          <w:t>Informe</w:t>
        </w:r>
        <w:r w:rsidR="005E77FE">
          <w:rPr>
            <w:rStyle w:val="Hipervnculo"/>
          </w:rPr>
          <w:t xml:space="preserve"> </w:t>
        </w:r>
      </w:hyperlink>
      <w:hyperlink r:id="rId10" w:history="1">
        <w:r w:rsidR="0016236C" w:rsidRPr="0016236C">
          <w:rPr>
            <w:rStyle w:val="Hipervnculo"/>
          </w:rPr>
          <w:t>sobre digitalización</w:t>
        </w:r>
        <w:r w:rsidR="005E77FE">
          <w:rPr>
            <w:rStyle w:val="Hipervnculo"/>
          </w:rPr>
          <w:t xml:space="preserve"> </w:t>
        </w:r>
      </w:hyperlink>
      <w:hyperlink r:id="rId11" w:history="1">
        <w:r w:rsidR="0016236C" w:rsidRPr="0016236C">
          <w:rPr>
            <w:rStyle w:val="Hipervnculo"/>
          </w:rPr>
          <w:t>DE LOS PAÍSES BAJOS</w:t>
        </w:r>
        <w:r w:rsidR="005E77FE">
          <w:rPr>
            <w:rStyle w:val="Hipervnculo"/>
          </w:rPr>
          <w:t xml:space="preserve"> </w:t>
        </w:r>
      </w:hyperlink>
      <w:hyperlink r:id="rId12" w:history="1">
        <w:r w:rsidR="0016236C" w:rsidRPr="0016236C">
          <w:rPr>
            <w:rStyle w:val="Hipervnculo"/>
          </w:rPr>
          <w:t>SBR</w:t>
        </w:r>
      </w:hyperlink>
    </w:p>
    <w:p w14:paraId="091D75EB" w14:textId="2839C515" w:rsidR="00D53950" w:rsidRDefault="00D53950" w:rsidP="0016236C">
      <w:pPr>
        <w:jc w:val="both"/>
      </w:pPr>
    </w:p>
    <w:p w14:paraId="4B4A8C46" w14:textId="05F42483" w:rsidR="0016236C" w:rsidRDefault="0016236C" w:rsidP="0016236C">
      <w:pPr>
        <w:jc w:val="both"/>
      </w:pPr>
    </w:p>
    <w:p w14:paraId="02296938" w14:textId="77777777" w:rsidR="0016236C" w:rsidRDefault="0016236C" w:rsidP="0016236C">
      <w:pPr>
        <w:jc w:val="both"/>
      </w:pPr>
    </w:p>
    <w:p w14:paraId="5CA11A55" w14:textId="2B7C1AB4" w:rsidR="0016236C" w:rsidRDefault="0016236C" w:rsidP="0016236C">
      <w:pPr>
        <w:jc w:val="both"/>
      </w:pPr>
    </w:p>
    <w:p w14:paraId="53192D7A" w14:textId="07F2831B" w:rsidR="0016236C" w:rsidRDefault="0016236C" w:rsidP="0016236C">
      <w:pPr>
        <w:jc w:val="both"/>
      </w:pPr>
    </w:p>
    <w:p w14:paraId="7D9C57DB" w14:textId="71E35D79" w:rsidR="0016236C" w:rsidRDefault="0016236C" w:rsidP="0016236C">
      <w:pPr>
        <w:jc w:val="both"/>
      </w:pPr>
    </w:p>
    <w:p w14:paraId="3A85E0F8" w14:textId="3D14673B" w:rsidR="0016236C" w:rsidRDefault="0016236C" w:rsidP="0016236C">
      <w:pPr>
        <w:jc w:val="both"/>
      </w:pPr>
    </w:p>
    <w:p w14:paraId="52C913CE" w14:textId="568FE682" w:rsidR="0016236C" w:rsidRDefault="0016236C" w:rsidP="0016236C">
      <w:pPr>
        <w:jc w:val="both"/>
      </w:pPr>
    </w:p>
    <w:p w14:paraId="698AEB15" w14:textId="11696703" w:rsidR="00855508" w:rsidRDefault="00855508" w:rsidP="0016236C">
      <w:pPr>
        <w:jc w:val="both"/>
      </w:pPr>
    </w:p>
    <w:p w14:paraId="13A1A487" w14:textId="3B3178A1" w:rsidR="00855508" w:rsidRDefault="00855508" w:rsidP="0016236C">
      <w:pPr>
        <w:jc w:val="both"/>
      </w:pPr>
    </w:p>
    <w:p w14:paraId="73ED8B0E" w14:textId="7AFC9EBB" w:rsidR="00855508" w:rsidRDefault="00855508" w:rsidP="0016236C">
      <w:pPr>
        <w:jc w:val="both"/>
      </w:pPr>
    </w:p>
    <w:p w14:paraId="48625582" w14:textId="7F773384" w:rsidR="00855508" w:rsidRDefault="00855508" w:rsidP="0016236C">
      <w:pPr>
        <w:jc w:val="both"/>
      </w:pPr>
    </w:p>
    <w:p w14:paraId="1B00403F" w14:textId="73AD7CF0" w:rsidR="00855508" w:rsidRDefault="00855508" w:rsidP="0016236C">
      <w:pPr>
        <w:jc w:val="both"/>
      </w:pPr>
    </w:p>
    <w:p w14:paraId="619EEB09" w14:textId="28ABAF2F" w:rsidR="00855508" w:rsidRDefault="00855508" w:rsidP="0016236C">
      <w:pPr>
        <w:jc w:val="both"/>
      </w:pPr>
    </w:p>
    <w:p w14:paraId="5D6C5BAA" w14:textId="21056E70" w:rsidR="00855508" w:rsidRDefault="00855508" w:rsidP="0016236C">
      <w:pPr>
        <w:jc w:val="both"/>
      </w:pPr>
    </w:p>
    <w:p w14:paraId="686A84D1" w14:textId="597646BA" w:rsidR="00855508" w:rsidRDefault="00855508" w:rsidP="0016236C">
      <w:pPr>
        <w:jc w:val="both"/>
      </w:pPr>
    </w:p>
    <w:p w14:paraId="298430A1" w14:textId="4F4A48E9" w:rsidR="00855508" w:rsidRDefault="00855508" w:rsidP="0016236C">
      <w:pPr>
        <w:jc w:val="both"/>
      </w:pPr>
    </w:p>
    <w:p w14:paraId="6FDBE3DD" w14:textId="61C19197" w:rsidR="00855508" w:rsidRDefault="00855508" w:rsidP="0016236C">
      <w:pPr>
        <w:jc w:val="both"/>
      </w:pPr>
    </w:p>
    <w:p w14:paraId="59FB34E1" w14:textId="15289294" w:rsidR="00855508" w:rsidRDefault="00855508" w:rsidP="0016236C">
      <w:pPr>
        <w:jc w:val="both"/>
      </w:pPr>
    </w:p>
    <w:p w14:paraId="508BEE63" w14:textId="234535C4" w:rsidR="00855508" w:rsidRDefault="00855508" w:rsidP="0016236C">
      <w:pPr>
        <w:jc w:val="both"/>
      </w:pPr>
    </w:p>
    <w:p w14:paraId="312C65F6" w14:textId="0F506C55" w:rsidR="00855508" w:rsidRDefault="00855508" w:rsidP="0016236C">
      <w:pPr>
        <w:jc w:val="both"/>
      </w:pPr>
    </w:p>
    <w:p w14:paraId="093CE7CB" w14:textId="77777777" w:rsidR="00855508" w:rsidRDefault="00855508" w:rsidP="0016236C">
      <w:pPr>
        <w:jc w:val="both"/>
      </w:pPr>
    </w:p>
    <w:p w14:paraId="18A8A885" w14:textId="25959D75" w:rsidR="0016236C" w:rsidRDefault="0016236C" w:rsidP="0016236C">
      <w:pPr>
        <w:jc w:val="both"/>
      </w:pPr>
      <w:r w:rsidRPr="0016236C">
        <w:rPr>
          <w:noProof/>
        </w:rPr>
        <w:lastRenderedPageBreak/>
        <w:drawing>
          <wp:inline distT="0" distB="0" distL="0" distR="0" wp14:anchorId="77C658C2" wp14:editId="063E89D1">
            <wp:extent cx="5612130" cy="968375"/>
            <wp:effectExtent l="0" t="0" r="762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968375"/>
                    </a:xfrm>
                    <a:prstGeom prst="rect">
                      <a:avLst/>
                    </a:prstGeom>
                  </pic:spPr>
                </pic:pic>
              </a:graphicData>
            </a:graphic>
          </wp:inline>
        </w:drawing>
      </w:r>
    </w:p>
    <w:p w14:paraId="5988E020" w14:textId="77777777" w:rsidR="0016236C" w:rsidRPr="005E77FE" w:rsidRDefault="0016236C" w:rsidP="0016236C">
      <w:pPr>
        <w:jc w:val="both"/>
        <w:rPr>
          <w:rFonts w:ascii="Arial Nova Cond" w:hAnsi="Arial Nova Cond"/>
          <w:sz w:val="24"/>
          <w:szCs w:val="24"/>
        </w:rPr>
      </w:pPr>
      <w:r w:rsidRPr="005E77FE">
        <w:rPr>
          <w:rFonts w:ascii="Arial Nova Cond" w:hAnsi="Arial Nova Cond"/>
          <w:sz w:val="24"/>
          <w:szCs w:val="24"/>
        </w:rPr>
        <w:t>Presentación de cuentas anuales el próximo año exclusivamente a través de XBRL</w:t>
      </w:r>
    </w:p>
    <w:p w14:paraId="730B0FA7" w14:textId="77777777" w:rsidR="0016236C" w:rsidRPr="005E77FE" w:rsidRDefault="0016236C" w:rsidP="0016236C">
      <w:pPr>
        <w:jc w:val="both"/>
        <w:rPr>
          <w:rFonts w:ascii="Arial Nova Cond" w:hAnsi="Arial Nova Cond"/>
        </w:rPr>
      </w:pPr>
      <w:r w:rsidRPr="005E77FE">
        <w:rPr>
          <w:rFonts w:ascii="Arial Nova Cond" w:hAnsi="Arial Nova Cond"/>
        </w:rPr>
        <w:t>26 de junio de 2024</w:t>
      </w:r>
    </w:p>
    <w:p w14:paraId="0A646651" w14:textId="77777777" w:rsidR="0016236C" w:rsidRPr="0016236C" w:rsidRDefault="00B43270" w:rsidP="0016236C">
      <w:pPr>
        <w:jc w:val="both"/>
      </w:pPr>
      <w:hyperlink r:id="rId14" w:history="1">
        <w:r w:rsidR="0016236C" w:rsidRPr="0016236C">
          <w:rPr>
            <w:rStyle w:val="Hipervnculo"/>
          </w:rPr>
          <w:t>Equipo editorial Semana del Contador</w:t>
        </w:r>
      </w:hyperlink>
    </w:p>
    <w:p w14:paraId="0A2CD8F3" w14:textId="4A7ADAD5" w:rsidR="0016236C" w:rsidRPr="0016236C" w:rsidRDefault="0016236C" w:rsidP="0016236C">
      <w:pPr>
        <w:jc w:val="both"/>
      </w:pPr>
      <w:r w:rsidRPr="0016236C">
        <w:rPr>
          <w:noProof/>
        </w:rPr>
        <w:drawing>
          <wp:inline distT="0" distB="0" distL="0" distR="0" wp14:anchorId="366B9D93" wp14:editId="4814367B">
            <wp:extent cx="5612130" cy="338899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3388995"/>
                    </a:xfrm>
                    <a:prstGeom prst="rect">
                      <a:avLst/>
                    </a:prstGeom>
                    <a:noFill/>
                    <a:ln>
                      <a:noFill/>
                    </a:ln>
                  </pic:spPr>
                </pic:pic>
              </a:graphicData>
            </a:graphic>
          </wp:inline>
        </w:drawing>
      </w:r>
    </w:p>
    <w:p w14:paraId="758B96B9" w14:textId="77777777" w:rsidR="0016236C" w:rsidRPr="0016236C" w:rsidRDefault="0016236C" w:rsidP="0016236C">
      <w:pPr>
        <w:jc w:val="both"/>
      </w:pPr>
      <w:r w:rsidRPr="0016236C">
        <w:t>La nueva forma obligatoria de XBRL es el llamado paquete de informes.</w:t>
      </w:r>
    </w:p>
    <w:p w14:paraId="07223D1C" w14:textId="6538D3EF" w:rsidR="0016236C" w:rsidRPr="0016236C" w:rsidRDefault="0016236C" w:rsidP="0016236C">
      <w:pPr>
        <w:jc w:val="both"/>
      </w:pPr>
      <w:r w:rsidRPr="0016236C">
        <w:t>La modificación del</w:t>
      </w:r>
      <w:r w:rsidR="005E77FE">
        <w:t xml:space="preserve"> </w:t>
      </w:r>
      <w:hyperlink r:id="rId16" w:history="1">
        <w:r w:rsidRPr="0016236C">
          <w:rPr>
            <w:rStyle w:val="Hipervnculo"/>
          </w:rPr>
          <w:t>Decreto del Registro Mercantil de Presentación Electrónica</w:t>
        </w:r>
      </w:hyperlink>
      <w:r w:rsidR="005E77FE">
        <w:t xml:space="preserve"> </w:t>
      </w:r>
      <w:r w:rsidRPr="0016236C">
        <w:t xml:space="preserve">fue discutida este mes en el Consejo de </w:t>
      </w:r>
      <w:r w:rsidR="00B43270">
        <w:t>m</w:t>
      </w:r>
      <w:r w:rsidRPr="0016236C">
        <w:t>inistros, que la adoptó como una decisión definitiva. Esto implica la presentación obligatoria de cuentas anuales ante la Cámara de Comercio.</w:t>
      </w:r>
    </w:p>
    <w:p w14:paraId="478EFF10" w14:textId="77777777" w:rsidR="0016236C" w:rsidRPr="0016236C" w:rsidRDefault="0016236C" w:rsidP="0016236C">
      <w:pPr>
        <w:jc w:val="both"/>
      </w:pPr>
      <w:r w:rsidRPr="0016236C">
        <w:t>El siguiente paso es ahora el asesoramiento del Consejo de Estado. Según lo previsto, se espera la publicación de la decisión antes de finales de este año. A partir del año fiscal 2025, todas las empresas privadas en los Países Bajos con un formato XBRL (eXtensible Business Reporting Language) deben presentar sus cuentas anuales ante la Cámara de Comercio. La obligación entra en vigor para los ejercicios que comiencen a principios de 2025.</w:t>
      </w:r>
    </w:p>
    <w:p w14:paraId="53DBE2E0" w14:textId="77777777" w:rsidR="0016236C" w:rsidRPr="0016236C" w:rsidRDefault="0016236C" w:rsidP="0016236C">
      <w:pPr>
        <w:jc w:val="both"/>
      </w:pPr>
      <w:r w:rsidRPr="0016236C">
        <w:t>Las grandes empresas también tienen que presentar sus cuentas anuales por esta vía. Un grupo de grandes empresas y filiales medianas relacionadas todavía se beneficiaron de un aplazamiento de la obligación. La directriz CSRD exige que la información ESG se incluya en un informe de gestión digital, donde la información está etiquetada con XBRL.</w:t>
      </w:r>
    </w:p>
    <w:p w14:paraId="359B91F4" w14:textId="77777777" w:rsidR="0016236C" w:rsidRPr="0016236C" w:rsidRDefault="0016236C" w:rsidP="0016236C">
      <w:pPr>
        <w:jc w:val="both"/>
      </w:pPr>
      <w:r w:rsidRPr="0016236C">
        <w:lastRenderedPageBreak/>
        <w:t>El actual sistema de acuerdos SBR, que describe cómo se deben realizar los informes digitales en los Países Bajos, se ampliará con la nueva forma de XBRL. Esto es obligatorio para todo el informe anual, según la directriz CSRD. La nueva forma de XBRL es el llamado Paquete de informes, una variante de un archivo ZIP desarrollado por XBRL International. El Paquete de Informes debe contener el informe anual en formato Inline XBRL y una taxonomía compilada por la propia empresa. En términos generales, esto significa que las grandes empresas deben presentar su solicitud ante la Cámara de Comercio para el ejercicio 2025 de la misma forma que las empresas que cotizan en bolsa.</w:t>
      </w:r>
    </w:p>
    <w:p w14:paraId="07739602" w14:textId="6CC33613" w:rsidR="0016236C" w:rsidRDefault="0016236C" w:rsidP="0016236C">
      <w:pPr>
        <w:jc w:val="both"/>
      </w:pPr>
    </w:p>
    <w:p w14:paraId="37C1B73F" w14:textId="77777777" w:rsidR="00855508" w:rsidRPr="0016236C" w:rsidRDefault="00B43270" w:rsidP="0047531A">
      <w:pPr>
        <w:jc w:val="both"/>
        <w:rPr>
          <w:b/>
          <w:bCs/>
        </w:rPr>
      </w:pPr>
      <w:hyperlink r:id="rId17" w:tgtFrame="_top" w:history="1">
        <w:r w:rsidR="00855508" w:rsidRPr="0016236C">
          <w:rPr>
            <w:rStyle w:val="Hipervnculo"/>
            <w:b/>
            <w:bCs/>
          </w:rPr>
          <w:t>Las grandes empresas también deben presentar cuentas anuales a través de SBR</w:t>
        </w:r>
      </w:hyperlink>
    </w:p>
    <w:p w14:paraId="24A854F7" w14:textId="04A1196A" w:rsidR="0016236C" w:rsidRPr="0016236C" w:rsidRDefault="0016236C" w:rsidP="0016236C">
      <w:pPr>
        <w:jc w:val="both"/>
      </w:pPr>
      <w:r w:rsidRPr="0016236C">
        <w:rPr>
          <w:noProof/>
        </w:rPr>
        <w:drawing>
          <wp:inline distT="0" distB="0" distL="0" distR="0" wp14:anchorId="3E2BDAF4" wp14:editId="17A3DEA5">
            <wp:extent cx="2857500" cy="1836420"/>
            <wp:effectExtent l="0" t="0" r="0" b="0"/>
            <wp:docPr id="7" name="Imagen 7">
              <a:hlinkClick xmlns:a="http://schemas.openxmlformats.org/drawingml/2006/main" r:id="rId17"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17" tgtFrame="&quot;_top&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836420"/>
                    </a:xfrm>
                    <a:prstGeom prst="rect">
                      <a:avLst/>
                    </a:prstGeom>
                    <a:noFill/>
                    <a:ln>
                      <a:noFill/>
                    </a:ln>
                  </pic:spPr>
                </pic:pic>
              </a:graphicData>
            </a:graphic>
          </wp:inline>
        </w:drawing>
      </w:r>
    </w:p>
    <w:p w14:paraId="5EEFF9D2" w14:textId="15693E70" w:rsidR="005E77FE" w:rsidRDefault="00855508" w:rsidP="00B1074F">
      <w:pPr>
        <w:jc w:val="both"/>
      </w:pPr>
      <w:r w:rsidRPr="0016236C">
        <w:t xml:space="preserve">Todas las empresas con personalidad jurídica presentarán sus cuentas anuales de forma digital a través de Standard Business Reporting (SBR). Después de las micro, pequeñas y medianas empresas, el gobierno ahora también quiere obligar a las 2.500 personas jurídicas holandesas más grandes a presentar sus cuentas anuales de esta manera. La consulta pública por internet para la modificación del Decreto sobre la Presentación Electrónica del Registro Mercantil fue lanzada el pasado viernes por el </w:t>
      </w:r>
      <w:r w:rsidR="005E77FE" w:rsidRPr="0016236C">
        <w:t>ministro</w:t>
      </w:r>
      <w:r w:rsidRPr="0016236C">
        <w:t>.</w:t>
      </w:r>
    </w:p>
    <w:p w14:paraId="7CEC8F71" w14:textId="1302C9BB" w:rsidR="00855508" w:rsidRDefault="00B43270" w:rsidP="00B1074F">
      <w:pPr>
        <w:jc w:val="both"/>
      </w:pPr>
      <w:hyperlink r:id="rId19" w:tgtFrame="_top" w:history="1">
        <w:r w:rsidR="00855508" w:rsidRPr="0016236C">
          <w:rPr>
            <w:rStyle w:val="Hipervnculo"/>
          </w:rPr>
          <w:t>Leer más sobre</w:t>
        </w:r>
        <w:r w:rsidR="00855508">
          <w:rPr>
            <w:rStyle w:val="Hipervnculo"/>
          </w:rPr>
          <w:t xml:space="preserve"> </w:t>
        </w:r>
        <w:r w:rsidR="00855508" w:rsidRPr="0016236C">
          <w:rPr>
            <w:rStyle w:val="Hipervnculo"/>
          </w:rPr>
          <w:t>Las grandes empresas también deben presentar cuentas anuales a través de SBR</w:t>
        </w:r>
      </w:hyperlink>
    </w:p>
    <w:p w14:paraId="30256C02" w14:textId="0094FA44" w:rsidR="0016236C" w:rsidRDefault="0016236C" w:rsidP="0016236C">
      <w:pPr>
        <w:jc w:val="both"/>
      </w:pPr>
    </w:p>
    <w:p w14:paraId="6E51B9EC" w14:textId="50568DEB" w:rsidR="00855508" w:rsidRDefault="00855508" w:rsidP="0016236C">
      <w:pPr>
        <w:jc w:val="both"/>
      </w:pPr>
    </w:p>
    <w:p w14:paraId="238F4711" w14:textId="4AA610B8" w:rsidR="00855508" w:rsidRDefault="00855508" w:rsidP="0016236C">
      <w:pPr>
        <w:jc w:val="both"/>
      </w:pPr>
    </w:p>
    <w:p w14:paraId="5FDC4FDD" w14:textId="21F0B624" w:rsidR="00855508" w:rsidRDefault="00855508" w:rsidP="0016236C">
      <w:pPr>
        <w:jc w:val="both"/>
      </w:pPr>
    </w:p>
    <w:p w14:paraId="2A88494A" w14:textId="497056ED" w:rsidR="00855508" w:rsidRDefault="00855508" w:rsidP="0016236C">
      <w:pPr>
        <w:jc w:val="both"/>
      </w:pPr>
    </w:p>
    <w:p w14:paraId="75C3A107" w14:textId="6D058F10" w:rsidR="00855508" w:rsidRDefault="00855508" w:rsidP="0016236C">
      <w:pPr>
        <w:jc w:val="both"/>
      </w:pPr>
    </w:p>
    <w:p w14:paraId="094E4D08" w14:textId="1BEDD4E5" w:rsidR="00855508" w:rsidRDefault="00855508" w:rsidP="0016236C">
      <w:pPr>
        <w:jc w:val="both"/>
      </w:pPr>
    </w:p>
    <w:p w14:paraId="0E0D1662" w14:textId="27206221" w:rsidR="00855508" w:rsidRDefault="00855508" w:rsidP="0016236C">
      <w:pPr>
        <w:jc w:val="both"/>
      </w:pPr>
    </w:p>
    <w:p w14:paraId="20614C21" w14:textId="77777777" w:rsidR="00855508" w:rsidRDefault="00855508" w:rsidP="0016236C">
      <w:pPr>
        <w:jc w:val="both"/>
      </w:pPr>
    </w:p>
    <w:p w14:paraId="1E69A93E" w14:textId="08556CDF" w:rsidR="0016236C" w:rsidRDefault="0016236C" w:rsidP="0016236C">
      <w:pPr>
        <w:jc w:val="both"/>
      </w:pPr>
      <w:r w:rsidRPr="0016236C">
        <w:rPr>
          <w:noProof/>
        </w:rPr>
        <w:lastRenderedPageBreak/>
        <w:drawing>
          <wp:inline distT="0" distB="0" distL="0" distR="0" wp14:anchorId="503E49ED" wp14:editId="46EA98B4">
            <wp:extent cx="5612130" cy="904875"/>
            <wp:effectExtent l="0" t="0" r="762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12130" cy="904875"/>
                    </a:xfrm>
                    <a:prstGeom prst="rect">
                      <a:avLst/>
                    </a:prstGeom>
                  </pic:spPr>
                </pic:pic>
              </a:graphicData>
            </a:graphic>
          </wp:inline>
        </w:drawing>
      </w:r>
    </w:p>
    <w:p w14:paraId="60BCB7A3" w14:textId="7CF1AD4C" w:rsidR="0016236C" w:rsidRDefault="0016236C" w:rsidP="0016236C">
      <w:pPr>
        <w:jc w:val="both"/>
      </w:pPr>
      <w:r w:rsidRPr="0016236C">
        <w:rPr>
          <w:noProof/>
        </w:rPr>
        <w:drawing>
          <wp:inline distT="0" distB="0" distL="0" distR="0" wp14:anchorId="5E9233F8" wp14:editId="2358AF2C">
            <wp:extent cx="5612130" cy="1429385"/>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12130" cy="1429385"/>
                    </a:xfrm>
                    <a:prstGeom prst="rect">
                      <a:avLst/>
                    </a:prstGeom>
                  </pic:spPr>
                </pic:pic>
              </a:graphicData>
            </a:graphic>
          </wp:inline>
        </w:drawing>
      </w:r>
    </w:p>
    <w:p w14:paraId="4FFC9EEF" w14:textId="553926FE" w:rsidR="0016236C" w:rsidRPr="0016236C" w:rsidRDefault="0016236C" w:rsidP="0016236C">
      <w:pPr>
        <w:jc w:val="both"/>
      </w:pPr>
      <w:r w:rsidRPr="0016236C">
        <w:t>En 2022 se realizó una</w:t>
      </w:r>
      <w:r w:rsidR="005E77FE">
        <w:t xml:space="preserve"> </w:t>
      </w:r>
      <w:hyperlink r:id="rId22" w:history="1">
        <w:r w:rsidRPr="0016236C">
          <w:rPr>
            <w:rStyle w:val="Hipervnculo"/>
          </w:rPr>
          <w:t>consulta</w:t>
        </w:r>
      </w:hyperlink>
      <w:r w:rsidR="005E77FE">
        <w:t xml:space="preserve"> </w:t>
      </w:r>
      <w:r w:rsidRPr="0016236C">
        <w:t>sobre una propuesta de modificación del Decreto del Registro Mercantil de Presentación Electrónica, con el objetivo de ampliar la obligación de presentar electrónicamente. Según esta decisión, las grandes entidades jurídicas también estarán obligadas a presentar las cuentas anuales, el informe anual y otros datos (denominados colectivamente informe anual) electrónicamente a través de SBR. Se han suprimido en gran medida las excepciones a esta obligación, previstas en el artículo 4 del Decreto del Registro Mercantil de Presentación Electrónica.</w:t>
      </w:r>
    </w:p>
    <w:p w14:paraId="0032500A" w14:textId="77777777" w:rsidR="005E77FE" w:rsidRDefault="0016236C" w:rsidP="0016236C">
      <w:pPr>
        <w:jc w:val="both"/>
        <w:rPr>
          <w:b/>
          <w:bCs/>
        </w:rPr>
      </w:pPr>
      <w:r w:rsidRPr="0016236C">
        <w:rPr>
          <w:b/>
          <w:bCs/>
        </w:rPr>
        <w:t>Presentación electrónica</w:t>
      </w:r>
    </w:p>
    <w:p w14:paraId="296A1E01" w14:textId="17D42F4F" w:rsidR="0016236C" w:rsidRPr="0016236C" w:rsidRDefault="0016236C" w:rsidP="0016236C">
      <w:pPr>
        <w:jc w:val="both"/>
      </w:pPr>
      <w:r w:rsidRPr="0016236C">
        <w:t>Cualquiera que presente las cuentas anuales ante la Cámara de Comercio pronto deberá hacerlo electrónicamente a través de SBR. Las empresas que cotizan en bolsa continúan presentando sus declaraciones ante la AFM.</w:t>
      </w:r>
      <w:r w:rsidR="005E77FE">
        <w:t xml:space="preserve"> </w:t>
      </w:r>
      <w:r w:rsidRPr="0016236C">
        <w:t>El sistema de acuerdos SBR se ha ajustado para permitir también la presentación de cuentas anuales en un formato uniforme de presentación de informes electrónicos (el formato europeo) a través de SBR. Las respuestas a la consulta fueron tomadas en cuenta por el Ministerio de Asuntos Económicos y Clima a la hora de preparar la decisión. Un ajuste importante al Decreto propuesto es que esta obligación entrará en vigor para los ejercicios económicos que comiencen a partir del 1 de enero de 2025.</w:t>
      </w:r>
    </w:p>
    <w:p w14:paraId="0AE2A91F" w14:textId="77777777" w:rsidR="005E77FE" w:rsidRDefault="0016236C" w:rsidP="0016236C">
      <w:pPr>
        <w:jc w:val="both"/>
        <w:rPr>
          <w:b/>
          <w:bCs/>
        </w:rPr>
      </w:pPr>
      <w:r w:rsidRPr="0016236C">
        <w:rPr>
          <w:b/>
          <w:bCs/>
        </w:rPr>
        <w:t>AMvB</w:t>
      </w:r>
    </w:p>
    <w:p w14:paraId="670DC468" w14:textId="347ED0B2" w:rsidR="0016236C" w:rsidRPr="0016236C" w:rsidRDefault="0016236C" w:rsidP="0016236C">
      <w:pPr>
        <w:jc w:val="both"/>
      </w:pPr>
      <w:r w:rsidRPr="0016236C">
        <w:t>El Decreto propuesto es una Orden del Consejo (AMvB). Los pasos habituales para establecer una Orden en Consejo son:</w:t>
      </w:r>
    </w:p>
    <w:p w14:paraId="1634C4E4" w14:textId="77777777" w:rsidR="0016236C" w:rsidRPr="0016236C" w:rsidRDefault="0016236C" w:rsidP="0016236C">
      <w:pPr>
        <w:numPr>
          <w:ilvl w:val="0"/>
          <w:numId w:val="2"/>
        </w:numPr>
        <w:jc w:val="both"/>
      </w:pPr>
      <w:r w:rsidRPr="0016236C">
        <w:t>Elaboración de la medida por el departamento correspondiente.</w:t>
      </w:r>
    </w:p>
    <w:p w14:paraId="01722304" w14:textId="53CA2FE4" w:rsidR="0016236C" w:rsidRPr="0016236C" w:rsidRDefault="0016236C" w:rsidP="0016236C">
      <w:pPr>
        <w:numPr>
          <w:ilvl w:val="0"/>
          <w:numId w:val="2"/>
        </w:numPr>
        <w:jc w:val="both"/>
      </w:pPr>
      <w:r w:rsidRPr="0016236C">
        <w:t xml:space="preserve">Discusión de la medida en el Consejo de </w:t>
      </w:r>
      <w:r w:rsidR="005E77FE" w:rsidRPr="0016236C">
        <w:t>ministros</w:t>
      </w:r>
      <w:r w:rsidRPr="0016236C">
        <w:t>.</w:t>
      </w:r>
    </w:p>
    <w:p w14:paraId="12B60F2C" w14:textId="77777777" w:rsidR="0016236C" w:rsidRPr="0016236C" w:rsidRDefault="0016236C" w:rsidP="0016236C">
      <w:pPr>
        <w:numPr>
          <w:ilvl w:val="0"/>
          <w:numId w:val="2"/>
        </w:numPr>
        <w:jc w:val="both"/>
      </w:pPr>
      <w:r w:rsidRPr="0016236C">
        <w:t>Asesoramiento del Consejo de Estado.</w:t>
      </w:r>
    </w:p>
    <w:p w14:paraId="6D70BFBC" w14:textId="77777777" w:rsidR="0016236C" w:rsidRPr="0016236C" w:rsidRDefault="0016236C" w:rsidP="0016236C">
      <w:pPr>
        <w:numPr>
          <w:ilvl w:val="0"/>
          <w:numId w:val="2"/>
        </w:numPr>
        <w:jc w:val="both"/>
      </w:pPr>
      <w:r w:rsidRPr="0016236C">
        <w:t>Tramitar el dictamen del Consejo de Estado mediante informe complementario.</w:t>
      </w:r>
    </w:p>
    <w:p w14:paraId="19786FD8" w14:textId="77777777" w:rsidR="0016236C" w:rsidRPr="0016236C" w:rsidRDefault="0016236C" w:rsidP="0016236C">
      <w:pPr>
        <w:numPr>
          <w:ilvl w:val="0"/>
          <w:numId w:val="2"/>
        </w:numPr>
        <w:jc w:val="both"/>
      </w:pPr>
      <w:r w:rsidRPr="0016236C">
        <w:t>Firma de cualquier Orden en Consejo modificada por el ministro o los ministros implicados y el Rey, seguida de su publicación en el Boletín Oficial.</w:t>
      </w:r>
    </w:p>
    <w:p w14:paraId="3C6779ED" w14:textId="22BA60C9" w:rsidR="0016236C" w:rsidRPr="0016236C" w:rsidRDefault="0016236C" w:rsidP="0016236C">
      <w:pPr>
        <w:jc w:val="both"/>
      </w:pPr>
      <w:r w:rsidRPr="0016236C">
        <w:lastRenderedPageBreak/>
        <w:t xml:space="preserve">La decisión propuesta para modificar el Decreto del Registro Mercantil de Presentación Electrónica se debatió en el Consejo de </w:t>
      </w:r>
      <w:r w:rsidR="005E77FE" w:rsidRPr="0016236C">
        <w:t>ministros</w:t>
      </w:r>
      <w:r w:rsidRPr="0016236C">
        <w:t xml:space="preserve"> en junio de 2024. El siguiente paso es ahora el asesoramiento del Consejo de Estado. Según lo previsto, se espera la publicación de la decisión antes de finales de este año. El avance de esta decisión también podrá seguirse a través del</w:t>
      </w:r>
      <w:r w:rsidR="005E77FE">
        <w:t xml:space="preserve"> </w:t>
      </w:r>
      <w:hyperlink r:id="rId23" w:history="1">
        <w:r w:rsidRPr="0016236C">
          <w:rPr>
            <w:rStyle w:val="Hipervnculo"/>
          </w:rPr>
          <w:t>calendario legislativo</w:t>
        </w:r>
      </w:hyperlink>
      <w:r w:rsidRPr="0016236C">
        <w:t>.</w:t>
      </w:r>
    </w:p>
    <w:p w14:paraId="511E0CA3" w14:textId="77777777" w:rsidR="0016236C" w:rsidRPr="0016236C" w:rsidRDefault="0016236C" w:rsidP="0016236C">
      <w:pPr>
        <w:jc w:val="both"/>
      </w:pPr>
    </w:p>
    <w:sectPr w:rsidR="0016236C" w:rsidRPr="001623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35480"/>
    <w:multiLevelType w:val="multilevel"/>
    <w:tmpl w:val="0EE4A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20692A"/>
    <w:multiLevelType w:val="multilevel"/>
    <w:tmpl w:val="6286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6C"/>
    <w:rsid w:val="0016236C"/>
    <w:rsid w:val="005E77FE"/>
    <w:rsid w:val="00855508"/>
    <w:rsid w:val="00B43270"/>
    <w:rsid w:val="00D539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8EA6"/>
  <w15:chartTrackingRefBased/>
  <w15:docId w15:val="{C188900C-AC2D-4C77-81AF-5F351A75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6236C"/>
    <w:rPr>
      <w:color w:val="0563C1" w:themeColor="hyperlink"/>
      <w:u w:val="single"/>
    </w:rPr>
  </w:style>
  <w:style w:type="character" w:styleId="Mencinsinresolver">
    <w:name w:val="Unresolved Mention"/>
    <w:basedOn w:val="Fuentedeprrafopredeter"/>
    <w:uiPriority w:val="99"/>
    <w:semiHidden/>
    <w:unhideWhenUsed/>
    <w:rsid w:val="00162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071029">
      <w:bodyDiv w:val="1"/>
      <w:marLeft w:val="0"/>
      <w:marRight w:val="0"/>
      <w:marTop w:val="0"/>
      <w:marBottom w:val="0"/>
      <w:divBdr>
        <w:top w:val="none" w:sz="0" w:space="0" w:color="auto"/>
        <w:left w:val="none" w:sz="0" w:space="0" w:color="auto"/>
        <w:bottom w:val="none" w:sz="0" w:space="0" w:color="auto"/>
        <w:right w:val="none" w:sz="0" w:space="0" w:color="auto"/>
      </w:divBdr>
      <w:divsChild>
        <w:div w:id="655378857">
          <w:marLeft w:val="0"/>
          <w:marRight w:val="0"/>
          <w:marTop w:val="0"/>
          <w:marBottom w:val="0"/>
          <w:divBdr>
            <w:top w:val="none" w:sz="0" w:space="0" w:color="auto"/>
            <w:left w:val="none" w:sz="0" w:space="0" w:color="auto"/>
            <w:bottom w:val="none" w:sz="0" w:space="0" w:color="auto"/>
            <w:right w:val="none" w:sz="0" w:space="0" w:color="auto"/>
          </w:divBdr>
        </w:div>
        <w:div w:id="1772772541">
          <w:marLeft w:val="0"/>
          <w:marRight w:val="0"/>
          <w:marTop w:val="300"/>
          <w:marBottom w:val="300"/>
          <w:divBdr>
            <w:top w:val="none" w:sz="0" w:space="0" w:color="auto"/>
            <w:left w:val="none" w:sz="0" w:space="0" w:color="auto"/>
            <w:bottom w:val="none" w:sz="0" w:space="0" w:color="auto"/>
            <w:right w:val="none" w:sz="0" w:space="0" w:color="auto"/>
          </w:divBdr>
        </w:div>
        <w:div w:id="129709438">
          <w:marLeft w:val="0"/>
          <w:marRight w:val="0"/>
          <w:marTop w:val="600"/>
          <w:marBottom w:val="0"/>
          <w:divBdr>
            <w:top w:val="none" w:sz="0" w:space="0" w:color="auto"/>
            <w:left w:val="none" w:sz="0" w:space="0" w:color="auto"/>
            <w:bottom w:val="none" w:sz="0" w:space="0" w:color="auto"/>
            <w:right w:val="none" w:sz="0" w:space="0" w:color="auto"/>
          </w:divBdr>
          <w:divsChild>
            <w:div w:id="1703633643">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598252211">
      <w:bodyDiv w:val="1"/>
      <w:marLeft w:val="0"/>
      <w:marRight w:val="0"/>
      <w:marTop w:val="0"/>
      <w:marBottom w:val="0"/>
      <w:divBdr>
        <w:top w:val="none" w:sz="0" w:space="0" w:color="auto"/>
        <w:left w:val="none" w:sz="0" w:space="0" w:color="auto"/>
        <w:bottom w:val="none" w:sz="0" w:space="0" w:color="auto"/>
        <w:right w:val="none" w:sz="0" w:space="0" w:color="auto"/>
      </w:divBdr>
      <w:divsChild>
        <w:div w:id="1432623499">
          <w:marLeft w:val="0"/>
          <w:marRight w:val="300"/>
          <w:marTop w:val="0"/>
          <w:marBottom w:val="300"/>
          <w:divBdr>
            <w:top w:val="none" w:sz="0" w:space="0" w:color="auto"/>
            <w:left w:val="none" w:sz="0" w:space="0" w:color="auto"/>
            <w:bottom w:val="none" w:sz="0" w:space="0" w:color="auto"/>
            <w:right w:val="none" w:sz="0" w:space="0" w:color="auto"/>
          </w:divBdr>
        </w:div>
        <w:div w:id="2043358353">
          <w:marLeft w:val="0"/>
          <w:marRight w:val="0"/>
          <w:marTop w:val="0"/>
          <w:marBottom w:val="0"/>
          <w:divBdr>
            <w:top w:val="none" w:sz="0" w:space="0" w:color="auto"/>
            <w:left w:val="none" w:sz="0" w:space="0" w:color="auto"/>
            <w:bottom w:val="none" w:sz="0" w:space="0" w:color="auto"/>
            <w:right w:val="none" w:sz="0" w:space="0" w:color="auto"/>
          </w:divBdr>
        </w:div>
      </w:divsChild>
    </w:div>
    <w:div w:id="1603025506">
      <w:bodyDiv w:val="1"/>
      <w:marLeft w:val="0"/>
      <w:marRight w:val="0"/>
      <w:marTop w:val="0"/>
      <w:marBottom w:val="0"/>
      <w:divBdr>
        <w:top w:val="none" w:sz="0" w:space="0" w:color="auto"/>
        <w:left w:val="none" w:sz="0" w:space="0" w:color="auto"/>
        <w:bottom w:val="none" w:sz="0" w:space="0" w:color="auto"/>
        <w:right w:val="none" w:sz="0" w:space="0" w:color="auto"/>
      </w:divBdr>
    </w:div>
    <w:div w:id="1738672882">
      <w:bodyDiv w:val="1"/>
      <w:marLeft w:val="0"/>
      <w:marRight w:val="0"/>
      <w:marTop w:val="0"/>
      <w:marBottom w:val="0"/>
      <w:divBdr>
        <w:top w:val="none" w:sz="0" w:space="0" w:color="auto"/>
        <w:left w:val="none" w:sz="0" w:space="0" w:color="auto"/>
        <w:bottom w:val="none" w:sz="0" w:space="0" w:color="auto"/>
        <w:right w:val="none" w:sz="0" w:space="0" w:color="auto"/>
      </w:divBdr>
      <w:divsChild>
        <w:div w:id="158162083">
          <w:marLeft w:val="0"/>
          <w:marRight w:val="0"/>
          <w:marTop w:val="0"/>
          <w:marBottom w:val="0"/>
          <w:divBdr>
            <w:top w:val="none" w:sz="0" w:space="0" w:color="auto"/>
            <w:left w:val="none" w:sz="0" w:space="0" w:color="auto"/>
            <w:bottom w:val="none" w:sz="0" w:space="0" w:color="auto"/>
            <w:right w:val="none" w:sz="0" w:space="0" w:color="auto"/>
          </w:divBdr>
          <w:divsChild>
            <w:div w:id="68623989">
              <w:marLeft w:val="0"/>
              <w:marRight w:val="0"/>
              <w:marTop w:val="0"/>
              <w:marBottom w:val="0"/>
              <w:divBdr>
                <w:top w:val="none" w:sz="0" w:space="0" w:color="auto"/>
                <w:left w:val="none" w:sz="0" w:space="0" w:color="auto"/>
                <w:bottom w:val="none" w:sz="0" w:space="0" w:color="auto"/>
                <w:right w:val="none" w:sz="0" w:space="0" w:color="auto"/>
              </w:divBdr>
              <w:divsChild>
                <w:div w:id="1726101961">
                  <w:marLeft w:val="0"/>
                  <w:marRight w:val="0"/>
                  <w:marTop w:val="0"/>
                  <w:marBottom w:val="0"/>
                  <w:divBdr>
                    <w:top w:val="none" w:sz="0" w:space="0" w:color="auto"/>
                    <w:left w:val="none" w:sz="0" w:space="0" w:color="auto"/>
                    <w:bottom w:val="none" w:sz="0" w:space="0" w:color="auto"/>
                    <w:right w:val="none" w:sz="0" w:space="0" w:color="auto"/>
                  </w:divBdr>
                  <w:divsChild>
                    <w:div w:id="1774474158">
                      <w:marLeft w:val="0"/>
                      <w:marRight w:val="0"/>
                      <w:marTop w:val="0"/>
                      <w:marBottom w:val="0"/>
                      <w:divBdr>
                        <w:top w:val="none" w:sz="0" w:space="0" w:color="auto"/>
                        <w:left w:val="none" w:sz="0" w:space="0" w:color="auto"/>
                        <w:bottom w:val="none" w:sz="0" w:space="0" w:color="auto"/>
                        <w:right w:val="none" w:sz="0" w:space="0" w:color="auto"/>
                      </w:divBdr>
                    </w:div>
                    <w:div w:id="1634097668">
                      <w:marLeft w:val="0"/>
                      <w:marRight w:val="0"/>
                      <w:marTop w:val="0"/>
                      <w:marBottom w:val="0"/>
                      <w:divBdr>
                        <w:top w:val="none" w:sz="0" w:space="0" w:color="auto"/>
                        <w:left w:val="none" w:sz="0" w:space="0" w:color="auto"/>
                        <w:bottom w:val="none" w:sz="0" w:space="0" w:color="auto"/>
                        <w:right w:val="none" w:sz="0" w:space="0" w:color="auto"/>
                      </w:divBdr>
                    </w:div>
                  </w:divsChild>
                </w:div>
                <w:div w:id="19346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0788">
          <w:marLeft w:val="0"/>
          <w:marRight w:val="0"/>
          <w:marTop w:val="0"/>
          <w:marBottom w:val="0"/>
          <w:divBdr>
            <w:top w:val="none" w:sz="0" w:space="0" w:color="auto"/>
            <w:left w:val="none" w:sz="0" w:space="0" w:color="auto"/>
            <w:bottom w:val="none" w:sz="0" w:space="0" w:color="auto"/>
            <w:right w:val="none" w:sz="0" w:space="0" w:color="auto"/>
          </w:divBdr>
        </w:div>
        <w:div w:id="1109275981">
          <w:marLeft w:val="0"/>
          <w:marRight w:val="0"/>
          <w:marTop w:val="0"/>
          <w:marBottom w:val="0"/>
          <w:divBdr>
            <w:top w:val="none" w:sz="0" w:space="0" w:color="auto"/>
            <w:left w:val="none" w:sz="0" w:space="0" w:color="auto"/>
            <w:bottom w:val="none" w:sz="0" w:space="0" w:color="auto"/>
            <w:right w:val="none" w:sz="0" w:space="0" w:color="auto"/>
          </w:divBdr>
          <w:divsChild>
            <w:div w:id="704209228">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r-nl.nl/update-voortgang-wijziging-besluit-elektronische-deponering-handelsregister" TargetMode="External"/><Relationship Id="rId13" Type="http://schemas.openxmlformats.org/officeDocument/2006/relationships/image" Target="media/image2.png"/><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s://accountantweek.nl/artikel/deponeren-jaarrekening-volgend-jaar-uitsluitend-via-xbrl/" TargetMode="External"/><Relationship Id="rId12" Type="http://schemas.openxmlformats.org/officeDocument/2006/relationships/hyperlink" Target="https://www.xbrl.org/tag/sbr/" TargetMode="External"/><Relationship Id="rId17" Type="http://schemas.openxmlformats.org/officeDocument/2006/relationships/hyperlink" Target="https://accountantweek.nl/artikel/ook-grote-bedrijven-moeten-jaarrekening-indienen-via-sb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etten.overheid.nl/BWBR0037858/2023-01-01"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www.xbrl.org/news/netherlands-takes-significant-step-toward-exclusive-xbrl-filings-from-2025/" TargetMode="External"/><Relationship Id="rId11" Type="http://schemas.openxmlformats.org/officeDocument/2006/relationships/hyperlink" Target="https://www.xbrl.org/tag/netherlands/"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hyperlink" Target="https://wetgevingskalender.overheid.nl/Regeling/WGK014288" TargetMode="External"/><Relationship Id="rId10" Type="http://schemas.openxmlformats.org/officeDocument/2006/relationships/hyperlink" Target="https://www.xbrl.org/tag/digitisation/" TargetMode="External"/><Relationship Id="rId19" Type="http://schemas.openxmlformats.org/officeDocument/2006/relationships/hyperlink" Target="https://accountantweek.nl/artikel/ook-grote-bedrijven-moeten-jaarrekening-indienen-via-sbr/" TargetMode="External"/><Relationship Id="rId4" Type="http://schemas.openxmlformats.org/officeDocument/2006/relationships/webSettings" Target="webSettings.xml"/><Relationship Id="rId9" Type="http://schemas.openxmlformats.org/officeDocument/2006/relationships/hyperlink" Target="https://www.xbrl.org/tag/report-packages/" TargetMode="External"/><Relationship Id="rId14" Type="http://schemas.openxmlformats.org/officeDocument/2006/relationships/hyperlink" Target="https://accountantweek.nl/auteur/redactie-aw/" TargetMode="External"/><Relationship Id="rId22" Type="http://schemas.openxmlformats.org/officeDocument/2006/relationships/hyperlink" Target="https://www.internetconsultatie.nl/elektronisch_deponeren_jaarrekening/b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1202</Words>
  <Characters>6615</Characters>
  <Application>Microsoft Office Word</Application>
  <DocSecurity>0</DocSecurity>
  <Lines>55</Lines>
  <Paragraphs>15</Paragraphs>
  <ScaleCrop>false</ScaleCrop>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5</cp:revision>
  <dcterms:created xsi:type="dcterms:W3CDTF">2024-07-05T00:21:00Z</dcterms:created>
  <dcterms:modified xsi:type="dcterms:W3CDTF">2024-07-16T02:49:00Z</dcterms:modified>
</cp:coreProperties>
</file>