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7CA82" w14:textId="6C4C6715" w:rsidR="00165454" w:rsidRPr="00F914C9" w:rsidRDefault="00165454" w:rsidP="00165454">
      <w:pPr>
        <w:jc w:val="both"/>
        <w:rPr>
          <w:rFonts w:ascii="Arial Nova Cond" w:hAnsi="Arial Nova Cond"/>
          <w:sz w:val="28"/>
          <w:szCs w:val="28"/>
        </w:rPr>
      </w:pPr>
      <w:bookmarkStart w:id="0" w:name="_Hlk171112430"/>
      <w:r w:rsidRPr="00F914C9">
        <w:rPr>
          <w:rFonts w:ascii="Arial Nova Cond" w:hAnsi="Arial Nova Cond"/>
          <w:sz w:val="28"/>
          <w:szCs w:val="28"/>
        </w:rPr>
        <w:t>Tener en cuenta el clima y la naturaleza en la política monetaria y la supervisión bancaria en todo el mundo</w:t>
      </w:r>
    </w:p>
    <w:bookmarkEnd w:id="0"/>
    <w:p w14:paraId="1AE0DCAF" w14:textId="7C9AA2DA" w:rsidR="00165454" w:rsidRPr="00165454" w:rsidRDefault="00165454" w:rsidP="00165454">
      <w:pPr>
        <w:jc w:val="both"/>
      </w:pPr>
      <w:r w:rsidRPr="00165454">
        <w:t>Palabras del Sr. Frank Elderson, miembro del Comité Ejecutivo del Banco Central Europeo y vicepresidente del Consejo de Supervisión del Banco Central Europeo, en un evento sobre riesgos financieros relacionados con el clima, organizado por el Banco Central de Brasil, Río de Janeiro, 27 de marzo de 2024.</w:t>
      </w:r>
    </w:p>
    <w:p w14:paraId="3F7ED800" w14:textId="77777777" w:rsidR="00165454" w:rsidRPr="00165454" w:rsidRDefault="00165454" w:rsidP="00165454">
      <w:pPr>
        <w:jc w:val="both"/>
      </w:pPr>
      <w:r w:rsidRPr="00165454">
        <w:t>Las opiniones expresadas en este discurso son las del orador y no las del BIS.</w:t>
      </w:r>
    </w:p>
    <w:p w14:paraId="0084C69E" w14:textId="1979431B" w:rsidR="00165454" w:rsidRPr="00165454" w:rsidRDefault="00165454" w:rsidP="00165454">
      <w:pPr>
        <w:jc w:val="both"/>
        <w:rPr>
          <w:b/>
          <w:bCs/>
        </w:rPr>
      </w:pPr>
      <w:r w:rsidRPr="00165454">
        <w:rPr>
          <w:b/>
          <w:bCs/>
        </w:rPr>
        <w:t>Discurso del banco central</w:t>
      </w:r>
      <w:r>
        <w:rPr>
          <w:b/>
          <w:bCs/>
        </w:rPr>
        <w:t xml:space="preserve"> </w:t>
      </w:r>
      <w:r w:rsidRPr="00165454">
        <w:t>|</w:t>
      </w:r>
      <w:r>
        <w:t xml:space="preserve"> </w:t>
      </w:r>
      <w:r w:rsidRPr="00165454">
        <w:rPr>
          <w:b/>
          <w:bCs/>
        </w:rPr>
        <w:t>28 de marzo de 2024</w:t>
      </w:r>
    </w:p>
    <w:p w14:paraId="00C43E05" w14:textId="51FD7AC8" w:rsidR="00165454" w:rsidRPr="00165454" w:rsidRDefault="006851F9" w:rsidP="00165454">
      <w:pPr>
        <w:jc w:val="both"/>
      </w:pPr>
      <w:r w:rsidRPr="00165454">
        <w:t>P</w:t>
      </w:r>
      <w:r w:rsidR="00165454" w:rsidRPr="00165454">
        <w:t>or</w:t>
      </w:r>
      <w:r>
        <w:t xml:space="preserve">: </w:t>
      </w:r>
      <w:hyperlink r:id="rId5" w:history="1">
        <w:r w:rsidR="00165454" w:rsidRPr="00165454">
          <w:rPr>
            <w:rStyle w:val="Hipervnculo"/>
          </w:rPr>
          <w:t>Frank Elderson</w:t>
        </w:r>
      </w:hyperlink>
    </w:p>
    <w:p w14:paraId="760AA4A7" w14:textId="601BB4D9" w:rsidR="00165454" w:rsidRPr="00165454" w:rsidRDefault="006851F9" w:rsidP="00165454">
      <w:pPr>
        <w:jc w:val="both"/>
      </w:pPr>
      <w:hyperlink r:id="rId6" w:history="1">
        <w:r w:rsidR="00165454" w:rsidRPr="00165454">
          <w:rPr>
            <w:rStyle w:val="Hipervnculo"/>
            <w:b/>
            <w:bCs/>
          </w:rPr>
          <w:t>PDF texto completo </w:t>
        </w:r>
        <w:r w:rsidR="00165454" w:rsidRPr="00165454">
          <w:rPr>
            <w:rStyle w:val="Hipervnculo"/>
          </w:rPr>
          <w:t>(13kb)</w:t>
        </w:r>
      </w:hyperlink>
      <w:r w:rsidR="00165454" w:rsidRPr="00165454">
        <w:t>|4 páginas</w:t>
      </w:r>
    </w:p>
    <w:p w14:paraId="115B955E" w14:textId="77777777" w:rsidR="00165454" w:rsidRPr="00165454" w:rsidRDefault="00165454" w:rsidP="00165454">
      <w:pPr>
        <w:jc w:val="both"/>
      </w:pPr>
      <w:r w:rsidRPr="00165454">
        <w:t>Muchas gracias al Banco Central de Brasil por invitarme hoy aquí. Es un honor para mí hablar en el jardín botánico de Río de Janeiro. Es el hogar de más de 6.500 especies diferentes, solo una fracción de las más de 130.000 especies que se estima que se encuentran en Brasil, el país con mayor biodiversidad del mundo. Pero incluso este pequeño vistazo a la biodiversidad de Brasil es más que suficiente para apreciar el concepto de capital natural y el tremendo valor que representa.</w:t>
      </w:r>
    </w:p>
    <w:p w14:paraId="017DE83B" w14:textId="77777777" w:rsidR="00165454" w:rsidRPr="00165454" w:rsidRDefault="00165454" w:rsidP="00165454">
      <w:pPr>
        <w:jc w:val="both"/>
      </w:pPr>
      <w:r w:rsidRPr="00165454">
        <w:t>Al mismo tiempo, el calentamiento global y la degradación de la naturaleza están poniendo en riesgo este capital natural. Y los bancos centrales y supervisores de todo el mundo reconocen que esto plantea una grave amenaza a la estabilidad de nuestras economías y la solidez de nuestro sistema financiero.</w:t>
      </w:r>
    </w:p>
    <w:p w14:paraId="5642D1EF" w14:textId="77777777" w:rsidR="00165454" w:rsidRPr="00165454" w:rsidRDefault="00165454" w:rsidP="00165454">
      <w:pPr>
        <w:jc w:val="both"/>
      </w:pPr>
      <w:r w:rsidRPr="00165454">
        <w:t>Permítanme ser claro desde el principio: los bancos centrales y los supervisores no son ni pretenden ser responsables de políticas en el área del clima y la naturaleza. Son los gobiernos los responsables de las políticas climáticas y naturales. En mis comentarios de hoy, explicaré por qué los bancos centrales y los supervisores no tienen otra opción que tener en cuenta las actuales crisis climáticas y naturales para cumplir sus mandatos de política monetaria y supervisión bancaria. Y eso es exactamente lo que están haciendo los bancos centrales y los supervisores de todo el mundo. En el Banco Central Europeo (BCE) no estamos solos en este trabajo, como puede verse en el trabajo que realizan el Banco Central do Brasil y la mayoría de los demás bancos centrales y supervisores de todo el mundo.</w:t>
      </w:r>
    </w:p>
    <w:p w14:paraId="5C7CA7FF" w14:textId="77777777" w:rsidR="00165454" w:rsidRPr="00165454" w:rsidRDefault="00165454" w:rsidP="00165454">
      <w:pPr>
        <w:jc w:val="both"/>
        <w:rPr>
          <w:b/>
          <w:bCs/>
        </w:rPr>
      </w:pPr>
      <w:r w:rsidRPr="00165454">
        <w:rPr>
          <w:b/>
          <w:bCs/>
        </w:rPr>
        <w:t>La relevancia del clima y la naturaleza para los bancos centrales y los supervisores</w:t>
      </w:r>
    </w:p>
    <w:p w14:paraId="3545D5B4" w14:textId="77777777" w:rsidR="00165454" w:rsidRPr="00165454" w:rsidRDefault="00165454" w:rsidP="00165454">
      <w:pPr>
        <w:jc w:val="both"/>
      </w:pPr>
      <w:r w:rsidRPr="00165454">
        <w:t>El calentamiento global y la degradación de la naturaleza inducidos por el hombre son hechos científicamente establecidos. Sus devastadoras consecuencias se están volviendo aún más evidentes en el creciente número de peligros que vemos en todo el mundo. Todavía no sabemos exactamente cómo seguirán desarrollándose las crisis climática y natural, en parte porque los gobiernos están tomando medidas de mitigación y adaptación. Esta incertidumbre también significa que no sabemos exactamente cómo se verán afectados la economía y el sistema financiero.</w:t>
      </w:r>
    </w:p>
    <w:p w14:paraId="53241BBA" w14:textId="77777777" w:rsidR="00165454" w:rsidRPr="00165454" w:rsidRDefault="00165454" w:rsidP="00165454">
      <w:pPr>
        <w:jc w:val="both"/>
      </w:pPr>
      <w:r w:rsidRPr="00165454">
        <w:t>Al mismo tiempo, los análisis muestran consistentemente la importancia vital del clima y la naturaleza para los bancos centrales y los supervisores.</w:t>
      </w:r>
    </w:p>
    <w:p w14:paraId="2B489766" w14:textId="77777777" w:rsidR="00165454" w:rsidRPr="00165454" w:rsidRDefault="00165454" w:rsidP="00165454">
      <w:pPr>
        <w:jc w:val="both"/>
      </w:pPr>
      <w:r w:rsidRPr="00165454">
        <w:lastRenderedPageBreak/>
        <w:t>Primero, pase lo que pase, el impacto económico será profundo. Si no se controlan, el calentamiento global y la degradación de la naturaleza contribuirán a una mayor volatilidad macroeconómica a medida que los fenómenos climáticos y naturales se vuelvan más frecuentes y tengan un mayor impacto en la economía. Mientras tanto, una transición exitosa hacia una economía verde y sostenible requerirá grandes flujos de inversión que alterarán la forma en que funcionan nuestras economías.</w:t>
      </w:r>
    </w:p>
    <w:p w14:paraId="1AE4DBF4" w14:textId="77777777" w:rsidR="00165454" w:rsidRPr="00165454" w:rsidRDefault="00165454" w:rsidP="00165454">
      <w:pPr>
        <w:jc w:val="both"/>
      </w:pPr>
      <w:r w:rsidRPr="00165454">
        <w:t>En segundo lugar, los beneficios económicos de una transición oportuna superan con creces los costos, especialmente cuando se los compara con los escenarios alternativos de no hacer nada o hacer muy poco y demasiado tarde. </w:t>
      </w:r>
      <w:hyperlink r:id="rId7" w:anchor="fn1" w:history="1">
        <w:r w:rsidRPr="00165454">
          <w:rPr>
            <w:rStyle w:val="Hipervnculo"/>
            <w:vertAlign w:val="superscript"/>
          </w:rPr>
          <w:t>1</w:t>
        </w:r>
      </w:hyperlink>
    </w:p>
    <w:p w14:paraId="58D6E672" w14:textId="77777777" w:rsidR="00165454" w:rsidRPr="00165454" w:rsidRDefault="00165454" w:rsidP="00165454">
      <w:pPr>
        <w:jc w:val="both"/>
      </w:pPr>
      <w:r w:rsidRPr="00165454">
        <w:t>En tercer lugar, los riesgos relacionados con el clima se traducen en riesgos financieros. Los primeros trabajos del Comité de Supervisión Bancaria de Basilea (BCBS) muestran que los eventos climáticos son un impulsor de cada tipo tradicional de riesgo considerado en el marco regulatorio, desde el riesgo crediticio, el riesgo de liquidez y el riesgo de mercado hasta el riesgo operativo y reputacional, incluido el riesgo legal. </w:t>
      </w:r>
      <w:hyperlink r:id="rId8" w:anchor="fn2" w:history="1">
        <w:r w:rsidRPr="00165454">
          <w:rPr>
            <w:rStyle w:val="Hipervnculo"/>
            <w:vertAlign w:val="superscript"/>
          </w:rPr>
          <w:t>2</w:t>
        </w:r>
      </w:hyperlink>
      <w:r w:rsidRPr="00165454">
        <w:t>  Las inundaciones, por ejemplo, podrían dañar las instalaciones de producción de una empresa, lo que podría afectar su capacidad para pagar un préstamo, lo que a su vez generaría un mayor riesgo crediticio para el banco que otorgó el préstamo. O considere lo que podría pasar si su casa se construye en un área vulnerable a incendios forestales. Su vivienda podría perder valor, dejando al banco que le concedió la hipoteca con mayor riesgo en su balance.</w:t>
      </w:r>
    </w:p>
    <w:p w14:paraId="47539634" w14:textId="77777777" w:rsidR="00165454" w:rsidRPr="00165454" w:rsidRDefault="00165454" w:rsidP="00165454">
      <w:pPr>
        <w:jc w:val="both"/>
      </w:pPr>
      <w:r w:rsidRPr="00165454">
        <w:t>Y estos riesgos financieros no están relacionados únicamente con el cambio climático. El año pasado, al analizar más de 4,2 millones de empresas individuales que representan más de 4,2 billones de euros en préstamos corporativos, encontramos que casi el 75% de todos los préstamos bancarios en la zona del euro se otorgan a empresas que dependen en gran medida de al menos un servicio ecosistémico. . </w:t>
      </w:r>
      <w:hyperlink r:id="rId9" w:anchor="fn3" w:history="1">
        <w:r w:rsidRPr="00165454">
          <w:rPr>
            <w:rStyle w:val="Hipervnculo"/>
            <w:vertAlign w:val="superscript"/>
          </w:rPr>
          <w:t>3</w:t>
        </w:r>
      </w:hyperlink>
      <w:r w:rsidRPr="00165454">
        <w:t>  Ejemplos de estos servicios incluyen los productos que obtenemos de los ecosistemas, como alimentos, agua potable, madera y minerales; protección contra riesgos naturales; o la absorción y almacenamiento de carbono por la vegetación. Si estos servicios ecosistémicos continúan experimentando el nivel de degradación que enfrentan actualmente, la estabilidad de las instituciones financieras individuales y del sistema financiero en general estará en riesgo.</w:t>
      </w:r>
    </w:p>
    <w:p w14:paraId="6CB62D38" w14:textId="77777777" w:rsidR="00165454" w:rsidRPr="00165454" w:rsidRDefault="00165454" w:rsidP="00165454">
      <w:pPr>
        <w:jc w:val="both"/>
        <w:rPr>
          <w:b/>
          <w:bCs/>
        </w:rPr>
      </w:pPr>
      <w:r w:rsidRPr="00165454">
        <w:rPr>
          <w:b/>
          <w:bCs/>
        </w:rPr>
        <w:t>Organismos internacionales de normalización que impulsan la acción global</w:t>
      </w:r>
    </w:p>
    <w:p w14:paraId="23F19F80" w14:textId="77777777" w:rsidR="00165454" w:rsidRPr="00165454" w:rsidRDefault="00165454" w:rsidP="00165454">
      <w:pPr>
        <w:jc w:val="both"/>
      </w:pPr>
      <w:r w:rsidRPr="00165454">
        <w:t>Al reconocer la importancia de los factores relacionados con el clima y la naturaleza para la economía, incluido el sistema financiero, los organismos internacionales de normalización están prestando cada vez más atención a este tema. Esto ha dado lugar a avances sustanciales a nivel mundial, aunque aún nos queda mucho trabajo por delante.</w:t>
      </w:r>
    </w:p>
    <w:p w14:paraId="0780C98B" w14:textId="77777777" w:rsidR="00165454" w:rsidRPr="00165454" w:rsidRDefault="00165454" w:rsidP="00165454">
      <w:pPr>
        <w:jc w:val="both"/>
      </w:pPr>
      <w:r w:rsidRPr="00165454">
        <w:t xml:space="preserve">Por ejemplo, el BCBS tiene un grupo de trabajo dedicado a los riesgos financieros relacionados con el clima, cuya reunión de esta semana tiene el amable auspicio del Banco Central de Brasil. Sobre la base del trabajo de este grupo de trabajo, el BCBS ha tomado medidas concretas para incorporar los riesgos financieros relacionados con el clima en el marco de Basilea para la regulación prudencial global de los bancos. Y se han logrado avances en los tres pilares del marco prudencial: regulación, supervisión y divulgación. En cuanto al tema de las divulgaciones, a finales del año pasado el BCBS emitió un documento de consulta sobre una propuesta de marco de requisitos de divulgación relacionados con el clima, basándose en el trabajo realizado en varios otros foros. La fecha límite </w:t>
      </w:r>
      <w:r w:rsidRPr="00165454">
        <w:lastRenderedPageBreak/>
        <w:t>para recibir comentarios finalizó hace dos semanas y ahora estamos evaluando cuidadosamente los comentarios recibidos.</w:t>
      </w:r>
    </w:p>
    <w:p w14:paraId="72C09D61" w14:textId="1BBCF266" w:rsidR="00165454" w:rsidRPr="00165454" w:rsidRDefault="00165454" w:rsidP="00165454">
      <w:pPr>
        <w:jc w:val="both"/>
      </w:pPr>
      <w:r w:rsidRPr="00165454">
        <w:t>Mientras tanto, también hay avances en materia de riesgos relacionados con la naturaleza. En vista de la prioridad de la presidencia brasileña del G20 de profundizar el trabajo sobre los riesgos relacionados con la sostenibilidad, el Consejo de Estabilidad Financiera (FSB) complementará este año su trabajo relacionado con el clima con un balance de las iniciativas regulatorias y de supervisión actuales y planificadas relacionadas con los riesgos financieros relacionados con la naturaleza. Esto puede aprovechar el trabajo ya realizado por la Red de Bancos Centrales y Supervisores para Ecologizar el Sistema Financiero (NGFS). El año pasado, la NGFS –que cuenta con 138 miembros en todo el mundo, incluido el Banco Central do Brasil– publicó un marco conceptual para guiar la acción de los bancos centrales y supervisores en el área de riesgos relacionados con la naturaleza.</w:t>
      </w:r>
    </w:p>
    <w:p w14:paraId="626281CE" w14:textId="77777777" w:rsidR="00165454" w:rsidRPr="00165454" w:rsidRDefault="00165454" w:rsidP="00165454">
      <w:pPr>
        <w:jc w:val="both"/>
      </w:pPr>
      <w:r w:rsidRPr="00165454">
        <w:t>El trabajo que actualmente realizan el BCBS, el FSB y el NGFS llegará finalmente a otros organismos internacionales de normalización y se traducirá en prácticas concretas por parte de bancos centrales y supervisores individuales.</w:t>
      </w:r>
    </w:p>
    <w:p w14:paraId="781AA781" w14:textId="77777777" w:rsidR="00165454" w:rsidRPr="00165454" w:rsidRDefault="00165454" w:rsidP="00165454">
      <w:pPr>
        <w:jc w:val="both"/>
        <w:rPr>
          <w:b/>
          <w:bCs/>
        </w:rPr>
      </w:pPr>
      <w:r w:rsidRPr="00165454">
        <w:rPr>
          <w:b/>
          <w:bCs/>
        </w:rPr>
        <w:t>Medidas del BCE para tener en cuenta el clima y la naturaleza</w:t>
      </w:r>
    </w:p>
    <w:p w14:paraId="319900BE" w14:textId="77777777" w:rsidR="00165454" w:rsidRPr="00165454" w:rsidRDefault="00165454" w:rsidP="00165454">
      <w:pPr>
        <w:jc w:val="both"/>
      </w:pPr>
      <w:r w:rsidRPr="00165454">
        <w:t>Permítanme darles algunos ejemplos de acciones que hemos tomado en el BCE.</w:t>
      </w:r>
    </w:p>
    <w:p w14:paraId="55BE3CAF" w14:textId="77777777" w:rsidR="00165454" w:rsidRPr="00165454" w:rsidRDefault="00165454" w:rsidP="00165454">
      <w:pPr>
        <w:jc w:val="both"/>
      </w:pPr>
      <w:r w:rsidRPr="00165454">
        <w:t>En 2021, presentamos un ambicioso plan de acción climática que cubre modelos macroeconómicos, monitoreo de la estabilidad financiera, recopilación de datos, capacidades de evaluación de riesgos y nuestras operaciones de política monetaria. Muchas de las acciones que planificamos ya se han llevado a cabo. Por ejemplo, hemos logrado avances significativos en la mejora de los modelos que utilizamos en el análisis macroeconómico que respalda nuestras decisiones de política monetaria. Además, contamos con una metodología para inclinar la compra de bonos corporativos hacia emisores con un mejor desempeño climático, si alguna vez necesitamos comprar bonos corporativos nuevamente en el futuro. En el marco de garantía para nuestras operaciones de préstamo, solo aceptamos activos que cumplan con los requisitos pertinentes de informes de sostenibilidad y estamos considerando establecer límites a la proporción de activos emitidos por entidades con una gran huella de carbono.</w:t>
      </w:r>
    </w:p>
    <w:p w14:paraId="7E2AE03C" w14:textId="77777777" w:rsidR="00165454" w:rsidRPr="00165454" w:rsidRDefault="00165454" w:rsidP="00165454">
      <w:pPr>
        <w:jc w:val="both"/>
      </w:pPr>
      <w:r w:rsidRPr="00165454">
        <w:t>En el ámbito de la supervisión bancaria, hemos instado a los bancos a garantizar una gestión sólida de los riesgos relacionados con el clima y la naturaleza, tomando como punto de partida las expectativas supervisoras que publicamos en 2020. Estas expectativas brindan orientación sobre cómo los bancos deberían integrar los riesgos relacionados con el clima y la naturaleza en su estrategia, gobernanza y gestión de riesgos. Es muy coherente con los principios generales de supervisión establecidos por el BCBS.</w:t>
      </w:r>
    </w:p>
    <w:p w14:paraId="4DE955C2" w14:textId="77777777" w:rsidR="00165454" w:rsidRPr="00165454" w:rsidRDefault="00165454" w:rsidP="00165454">
      <w:pPr>
        <w:jc w:val="both"/>
      </w:pPr>
      <w:r w:rsidRPr="00165454">
        <w:t xml:space="preserve">Desde que el BCE comenzó a discutir los riesgos relacionados con el clima y la naturaleza con los bancos allá por 2019, sin duda se han logrado avances. Los bancos han tomado medidas para integrar estos riesgos en su estrategia, gobernanza y gestión de riesgos. Aunque actualmente ninguno de los bancos bajo nuestra supervisión cumple plenamente todas nuestras expectativas, cada una de nuestras expectativas ya ha sido cumplida por al menos un banco. Muestra que el progreso es posible y que no sólo se está produciendo entre unos pocos bancos, sino en todos los ámbitos. Esta es una buena noticia, ya que esperamos que todos los bancos bajo nuestra supervisión estén completamente alineados con nuestras expectativas de supervisión para fines de 2024. </w:t>
      </w:r>
      <w:r w:rsidRPr="00165454">
        <w:lastRenderedPageBreak/>
        <w:t>Haremos cumplir este plazo final, así como varios plazos provisionales. De hecho, varios bancos bajo nuestra supervisión ya han recibido requisitos vinculantes para subsanar las deficiencias en una fecha determinada. Si no cumplen, tendrán que pagar una multa por cada día que las deficiencias queden sin resolver.</w:t>
      </w:r>
    </w:p>
    <w:p w14:paraId="0B8BC5FA" w14:textId="77777777" w:rsidR="00165454" w:rsidRPr="00165454" w:rsidRDefault="00165454" w:rsidP="00165454">
      <w:pPr>
        <w:jc w:val="both"/>
      </w:pPr>
      <w:r w:rsidRPr="00165454">
        <w:t>Sobre la base de los resultados obtenidos y los avances realizados, a principios de este año el BCE anunció un nuevo plan de acción sobre el clima y la naturaleza. Establece pasos concretos para considerar cómo, dentro de nuestro mandato, podemos apoyar aún más la transición verde, evaluar los impactos físicos del cambio climático y explorar la materialidad de los riesgos relacionados con la naturaleza. Además, cuando completamos una revisión de nuestro marco operativo para implementar la política monetaria hace dos semanas, anunciamos que se incorporarán consideraciones relacionadas con el cambio climático en el diseño de futuras operaciones de política monetaria estructural.</w:t>
      </w:r>
    </w:p>
    <w:p w14:paraId="0C36BAC6" w14:textId="77777777" w:rsidR="00165454" w:rsidRPr="00165454" w:rsidRDefault="00165454" w:rsidP="00165454">
      <w:pPr>
        <w:jc w:val="both"/>
        <w:rPr>
          <w:b/>
          <w:bCs/>
        </w:rPr>
      </w:pPr>
      <w:r w:rsidRPr="00165454">
        <w:rPr>
          <w:b/>
          <w:bCs/>
        </w:rPr>
        <w:t>Conclusión</w:t>
      </w:r>
    </w:p>
    <w:p w14:paraId="2AA80530" w14:textId="77777777" w:rsidR="00165454" w:rsidRPr="00165454" w:rsidRDefault="00165454" w:rsidP="00165454">
      <w:pPr>
        <w:jc w:val="both"/>
      </w:pPr>
      <w:r w:rsidRPr="00165454">
        <w:t>Permítanme concluir.</w:t>
      </w:r>
    </w:p>
    <w:p w14:paraId="0ADBD251" w14:textId="77777777" w:rsidR="00165454" w:rsidRPr="00165454" w:rsidRDefault="00165454" w:rsidP="00165454">
      <w:pPr>
        <w:jc w:val="both"/>
      </w:pPr>
      <w:r w:rsidRPr="00165454">
        <w:t>El río Amazonas está sujeto a la "Pororoca", una de las mareas más grandes del mundo. Se trata de una enorme ola que se desplaza desde la desembocadura del Amazonas en la costa atlántica hasta 800 kilómetros río arriba.</w:t>
      </w:r>
    </w:p>
    <w:p w14:paraId="2E2012AB" w14:textId="77777777" w:rsidR="00165454" w:rsidRPr="00165454" w:rsidRDefault="00165454" w:rsidP="00165454">
      <w:pPr>
        <w:jc w:val="both"/>
      </w:pPr>
      <w:r w:rsidRPr="00165454">
        <w:t>Las crisis climática y natural se están desarrollando. Juntos están desbordando la economía y el sistema financiero, de forma muy parecida a como el "Pororoca" desborda la cuenca del Amazonas. Incluso si se toman medidas de mitigación y adaptación, una cosa es segura: el mundo, la economía global y el sistema financiero experimentarán cambios profundos.</w:t>
      </w:r>
    </w:p>
    <w:p w14:paraId="1F78E82A" w14:textId="77777777" w:rsidR="00165454" w:rsidRPr="00165454" w:rsidRDefault="00165454" w:rsidP="00165454">
      <w:pPr>
        <w:jc w:val="both"/>
      </w:pPr>
      <w:r w:rsidRPr="00165454">
        <w:t>En palabras del autor brasileño Paulo Coelho: "No te ahogas por sumergirte en el agua, sino por permanecer sumergido en ella". Salir de las crisis climática y natural requiere la acción de todas las autoridades dentro de su mandato. Para los bancos centrales y los supervisores, esto significa tener en cuenta el clima y la naturaleza en la consecución de sus objetivos de política monetaria y supervisión. Si no lo hicieran, estarían incumpliendo su mandato. El trabajo que estamos haciendo individual y colectivamente demuestra que no permitiremos que esto suceda.</w:t>
      </w:r>
    </w:p>
    <w:p w14:paraId="7C6F5604" w14:textId="69378C36" w:rsidR="00165454" w:rsidRPr="00165454" w:rsidRDefault="00165454" w:rsidP="00165454">
      <w:pPr>
        <w:jc w:val="both"/>
      </w:pPr>
      <w:r w:rsidRPr="00165454">
        <w:t>Gracias por su atención.</w:t>
      </w:r>
    </w:p>
    <w:p w14:paraId="5643D196" w14:textId="77777777" w:rsidR="00165454" w:rsidRPr="00165454" w:rsidRDefault="006851F9" w:rsidP="00165454">
      <w:pPr>
        <w:jc w:val="both"/>
      </w:pPr>
      <w:r>
        <w:pict w14:anchorId="6C970C17">
          <v:rect id="_x0000_i1025" style="width:655.45pt;height:0" o:hrpct="0" o:hralign="center" o:hrstd="t" o:hr="t" fillcolor="#a0a0a0" stroked="f"/>
        </w:pict>
      </w:r>
    </w:p>
    <w:bookmarkStart w:id="1" w:name="fn1"/>
    <w:p w14:paraId="02CC4455" w14:textId="0E8396A9" w:rsidR="00165454" w:rsidRPr="00165454" w:rsidRDefault="00165454" w:rsidP="00165454">
      <w:pPr>
        <w:jc w:val="both"/>
      </w:pPr>
      <w:r w:rsidRPr="00165454">
        <w:fldChar w:fldCharType="begin"/>
      </w:r>
      <w:r w:rsidRPr="00165454">
        <w:instrText xml:space="preserve"> HYPERLINK "https://www.bis.org/review/r240328d.htm" \l "fn_1" </w:instrText>
      </w:r>
      <w:r w:rsidRPr="00165454">
        <w:fldChar w:fldCharType="separate"/>
      </w:r>
      <w:r w:rsidRPr="00165454">
        <w:rPr>
          <w:rStyle w:val="Hipervnculo"/>
          <w:vertAlign w:val="superscript"/>
        </w:rPr>
        <w:t>1</w:t>
      </w:r>
      <w:r w:rsidRPr="00165454">
        <w:fldChar w:fldCharType="end"/>
      </w:r>
      <w:bookmarkEnd w:id="1"/>
      <w:r w:rsidRPr="00165454">
        <w:t> Emambakhsh, T. et al. (2023), "</w:t>
      </w:r>
      <w:hyperlink r:id="rId10" w:history="1">
        <w:r w:rsidRPr="00165454">
          <w:rPr>
            <w:rStyle w:val="Hipervnculo"/>
          </w:rPr>
          <w:t>El camino a París: pruebas de resistencia a la transición hacia una economía neta cero</w:t>
        </w:r>
      </w:hyperlink>
      <w:r w:rsidRPr="00165454">
        <w:t> ",</w:t>
      </w:r>
      <w:r w:rsidR="006851F9">
        <w:t xml:space="preserve"> </w:t>
      </w:r>
      <w:r w:rsidRPr="00165454">
        <w:rPr>
          <w:i/>
          <w:iCs/>
        </w:rPr>
        <w:t>Ocasional Paper Series</w:t>
      </w:r>
      <w:r w:rsidRPr="00165454">
        <w:t xml:space="preserve">, </w:t>
      </w:r>
      <w:r w:rsidR="006851F9">
        <w:t xml:space="preserve">No. </w:t>
      </w:r>
      <w:r w:rsidRPr="00165454">
        <w:t>328, BCE.</w:t>
      </w:r>
    </w:p>
    <w:bookmarkStart w:id="2" w:name="fn2"/>
    <w:p w14:paraId="71662660" w14:textId="77777777" w:rsidR="00165454" w:rsidRPr="00165454" w:rsidRDefault="00165454" w:rsidP="00165454">
      <w:pPr>
        <w:jc w:val="both"/>
      </w:pPr>
      <w:r w:rsidRPr="00165454">
        <w:fldChar w:fldCharType="begin"/>
      </w:r>
      <w:r w:rsidRPr="00165454">
        <w:instrText xml:space="preserve"> HYPERLINK "https://www.bis.org/review/r240328d.htm" \l "fn_2" </w:instrText>
      </w:r>
      <w:r w:rsidRPr="00165454">
        <w:fldChar w:fldCharType="separate"/>
      </w:r>
      <w:r w:rsidRPr="00165454">
        <w:rPr>
          <w:rStyle w:val="Hipervnculo"/>
          <w:vertAlign w:val="superscript"/>
        </w:rPr>
        <w:t>2</w:t>
      </w:r>
      <w:r w:rsidRPr="00165454">
        <w:fldChar w:fldCharType="end"/>
      </w:r>
      <w:bookmarkEnd w:id="2"/>
      <w:r w:rsidRPr="00165454">
        <w:t> Comité de Supervisión Bancaria de Basilea (2021),</w:t>
      </w:r>
      <w:hyperlink r:id="rId11" w:history="1">
        <w:r w:rsidRPr="00165454">
          <w:rPr>
            <w:rStyle w:val="Hipervnculo"/>
            <w:i/>
            <w:iCs/>
          </w:rPr>
          <w:t> Factores de riesgo relacionados con el clima y sus canales de transmisión</w:t>
        </w:r>
      </w:hyperlink>
      <w:r w:rsidRPr="00165454">
        <w:t> , abril. </w:t>
      </w:r>
    </w:p>
    <w:bookmarkStart w:id="3" w:name="fn3"/>
    <w:p w14:paraId="76DB253D" w14:textId="4883C663" w:rsidR="00165454" w:rsidRPr="00165454" w:rsidRDefault="00165454" w:rsidP="00165454">
      <w:pPr>
        <w:jc w:val="both"/>
      </w:pPr>
      <w:r w:rsidRPr="00165454">
        <w:fldChar w:fldCharType="begin"/>
      </w:r>
      <w:r w:rsidRPr="00165454">
        <w:instrText xml:space="preserve"> HYPERLINK "https://www.bis.org/review/r240328d.htm" \l "fn_3" </w:instrText>
      </w:r>
      <w:r w:rsidRPr="00165454">
        <w:fldChar w:fldCharType="separate"/>
      </w:r>
      <w:r w:rsidRPr="00165454">
        <w:rPr>
          <w:rStyle w:val="Hipervnculo"/>
          <w:vertAlign w:val="superscript"/>
        </w:rPr>
        <w:t>3</w:t>
      </w:r>
      <w:r w:rsidRPr="00165454">
        <w:fldChar w:fldCharType="end"/>
      </w:r>
      <w:bookmarkEnd w:id="3"/>
      <w:r w:rsidRPr="00165454">
        <w:t> Boldrini, S. et al. (2023), "</w:t>
      </w:r>
      <w:hyperlink r:id="rId12" w:history="1">
        <w:r w:rsidRPr="00165454">
          <w:rPr>
            <w:rStyle w:val="Hipervnculo"/>
          </w:rPr>
          <w:t> Vivir en un mundo en el que la naturaleza está desapareciendo: el riesgo físico y sus implicaciones para la estabilidad financiera</w:t>
        </w:r>
      </w:hyperlink>
      <w:r w:rsidRPr="00165454">
        <w:t> ",</w:t>
      </w:r>
      <w:r w:rsidRPr="00165454">
        <w:rPr>
          <w:i/>
          <w:iCs/>
        </w:rPr>
        <w:t> Ocasional Paper Series</w:t>
      </w:r>
      <w:r w:rsidRPr="00165454">
        <w:t xml:space="preserve">, </w:t>
      </w:r>
      <w:r w:rsidR="006851F9">
        <w:t>No.</w:t>
      </w:r>
      <w:r w:rsidRPr="00165454">
        <w:t xml:space="preserve"> 333, BCE.</w:t>
      </w:r>
    </w:p>
    <w:p w14:paraId="50308960" w14:textId="77777777" w:rsidR="00165454" w:rsidRPr="00165454" w:rsidRDefault="00165454" w:rsidP="00165454">
      <w:pPr>
        <w:jc w:val="both"/>
        <w:rPr>
          <w:b/>
          <w:bCs/>
        </w:rPr>
      </w:pPr>
      <w:r w:rsidRPr="00165454">
        <w:rPr>
          <w:b/>
          <w:bCs/>
        </w:rPr>
        <w:t>Sobre el Autor</w:t>
      </w:r>
    </w:p>
    <w:p w14:paraId="7FA32D41" w14:textId="77777777" w:rsidR="00165454" w:rsidRPr="006851F9" w:rsidRDefault="00165454" w:rsidP="00165454">
      <w:pPr>
        <w:jc w:val="both"/>
        <w:rPr>
          <w:b/>
          <w:bCs/>
        </w:rPr>
      </w:pPr>
      <w:r w:rsidRPr="006851F9">
        <w:rPr>
          <w:b/>
          <w:bCs/>
        </w:rPr>
        <w:t>Frank Elderson</w:t>
      </w:r>
    </w:p>
    <w:p w14:paraId="0D834219" w14:textId="77777777" w:rsidR="00165454" w:rsidRPr="00165454" w:rsidRDefault="00165454" w:rsidP="00165454">
      <w:pPr>
        <w:jc w:val="both"/>
        <w:rPr>
          <w:b/>
          <w:bCs/>
        </w:rPr>
      </w:pPr>
      <w:r w:rsidRPr="00165454">
        <w:rPr>
          <w:b/>
          <w:bCs/>
        </w:rPr>
        <w:lastRenderedPageBreak/>
        <w:t>Información relacionada</w:t>
      </w:r>
    </w:p>
    <w:p w14:paraId="7F8B62D0" w14:textId="0E1DA082" w:rsidR="00165454" w:rsidRPr="00165454" w:rsidRDefault="006851F9" w:rsidP="00165454">
      <w:pPr>
        <w:numPr>
          <w:ilvl w:val="0"/>
          <w:numId w:val="1"/>
        </w:numPr>
        <w:jc w:val="both"/>
      </w:pPr>
      <w:hyperlink r:id="rId13" w:history="1">
        <w:r w:rsidR="00165454" w:rsidRPr="00165454">
          <w:rPr>
            <w:rStyle w:val="Hipervnculo"/>
          </w:rPr>
          <w:t>Más</w:t>
        </w:r>
        <w:r>
          <w:rPr>
            <w:rStyle w:val="Hipervnculo"/>
          </w:rPr>
          <w:t xml:space="preserve"> </w:t>
        </w:r>
        <w:r w:rsidR="00165454" w:rsidRPr="00165454">
          <w:rPr>
            <w:rStyle w:val="Hipervnculo"/>
          </w:rPr>
          <w:t>discursos del "Banco Central Europeo"</w:t>
        </w:r>
      </w:hyperlink>
    </w:p>
    <w:p w14:paraId="215ACC70" w14:textId="182E243C" w:rsidR="00165454" w:rsidRPr="00165454" w:rsidRDefault="006851F9" w:rsidP="00165454">
      <w:pPr>
        <w:numPr>
          <w:ilvl w:val="0"/>
          <w:numId w:val="2"/>
        </w:numPr>
        <w:jc w:val="both"/>
      </w:pPr>
      <w:hyperlink r:id="rId14" w:history="1">
        <w:r w:rsidR="00165454" w:rsidRPr="00165454">
          <w:rPr>
            <w:rStyle w:val="Hipervnculo"/>
          </w:rPr>
          <w:t>Página del país: zona del euro</w:t>
        </w:r>
      </w:hyperlink>
    </w:p>
    <w:p w14:paraId="71866BC2" w14:textId="77777777" w:rsidR="000F4963" w:rsidRDefault="000F4963"/>
    <w:sectPr w:rsidR="000F49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F7D3C"/>
    <w:multiLevelType w:val="multilevel"/>
    <w:tmpl w:val="8E32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61BC8"/>
    <w:multiLevelType w:val="multilevel"/>
    <w:tmpl w:val="DD74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454"/>
    <w:rsid w:val="000F4963"/>
    <w:rsid w:val="00165454"/>
    <w:rsid w:val="006851F9"/>
    <w:rsid w:val="007978D9"/>
    <w:rsid w:val="00F914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51C3D2"/>
  <w15:chartTrackingRefBased/>
  <w15:docId w15:val="{D828E4C2-7D44-4795-9B25-6BCADD36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65454"/>
    <w:rPr>
      <w:color w:val="0563C1" w:themeColor="hyperlink"/>
      <w:u w:val="single"/>
    </w:rPr>
  </w:style>
  <w:style w:type="character" w:styleId="Mencinsinresolver">
    <w:name w:val="Unresolved Mention"/>
    <w:basedOn w:val="Fuentedeprrafopredeter"/>
    <w:uiPriority w:val="99"/>
    <w:semiHidden/>
    <w:unhideWhenUsed/>
    <w:rsid w:val="00165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77621">
      <w:bodyDiv w:val="1"/>
      <w:marLeft w:val="0"/>
      <w:marRight w:val="0"/>
      <w:marTop w:val="0"/>
      <w:marBottom w:val="0"/>
      <w:divBdr>
        <w:top w:val="none" w:sz="0" w:space="0" w:color="auto"/>
        <w:left w:val="none" w:sz="0" w:space="0" w:color="auto"/>
        <w:bottom w:val="none" w:sz="0" w:space="0" w:color="auto"/>
        <w:right w:val="none" w:sz="0" w:space="0" w:color="auto"/>
      </w:divBdr>
      <w:divsChild>
        <w:div w:id="1355033642">
          <w:marLeft w:val="0"/>
          <w:marRight w:val="0"/>
          <w:marTop w:val="0"/>
          <w:marBottom w:val="0"/>
          <w:divBdr>
            <w:top w:val="none" w:sz="0" w:space="0" w:color="auto"/>
            <w:left w:val="none" w:sz="0" w:space="0" w:color="auto"/>
            <w:bottom w:val="none" w:sz="0" w:space="0" w:color="auto"/>
            <w:right w:val="none" w:sz="0" w:space="0" w:color="auto"/>
          </w:divBdr>
        </w:div>
        <w:div w:id="1502087662">
          <w:marLeft w:val="0"/>
          <w:marRight w:val="0"/>
          <w:marTop w:val="0"/>
          <w:marBottom w:val="0"/>
          <w:divBdr>
            <w:top w:val="single" w:sz="18" w:space="15" w:color="AA332F"/>
            <w:left w:val="none" w:sz="0" w:space="0" w:color="auto"/>
            <w:bottom w:val="none" w:sz="0" w:space="0" w:color="auto"/>
            <w:right w:val="none" w:sz="0" w:space="0" w:color="auto"/>
          </w:divBdr>
          <w:divsChild>
            <w:div w:id="1158157586">
              <w:marLeft w:val="0"/>
              <w:marRight w:val="0"/>
              <w:marTop w:val="0"/>
              <w:marBottom w:val="0"/>
              <w:divBdr>
                <w:top w:val="none" w:sz="0" w:space="0" w:color="auto"/>
                <w:left w:val="none" w:sz="0" w:space="0" w:color="auto"/>
                <w:bottom w:val="none" w:sz="0" w:space="0" w:color="auto"/>
                <w:right w:val="none" w:sz="0" w:space="0" w:color="auto"/>
              </w:divBdr>
              <w:divsChild>
                <w:div w:id="978416637">
                  <w:marLeft w:val="0"/>
                  <w:marRight w:val="0"/>
                  <w:marTop w:val="0"/>
                  <w:marBottom w:val="0"/>
                  <w:divBdr>
                    <w:top w:val="none" w:sz="0" w:space="0" w:color="auto"/>
                    <w:left w:val="none" w:sz="0" w:space="0" w:color="auto"/>
                    <w:bottom w:val="none" w:sz="0" w:space="0" w:color="auto"/>
                    <w:right w:val="none" w:sz="0" w:space="0" w:color="auto"/>
                  </w:divBdr>
                  <w:divsChild>
                    <w:div w:id="1620261400">
                      <w:marLeft w:val="0"/>
                      <w:marRight w:val="0"/>
                      <w:marTop w:val="0"/>
                      <w:marBottom w:val="0"/>
                      <w:divBdr>
                        <w:top w:val="none" w:sz="0" w:space="0" w:color="auto"/>
                        <w:left w:val="none" w:sz="0" w:space="0" w:color="auto"/>
                        <w:bottom w:val="none" w:sz="0" w:space="0" w:color="auto"/>
                        <w:right w:val="none" w:sz="0" w:space="0" w:color="auto"/>
                      </w:divBdr>
                    </w:div>
                  </w:divsChild>
                </w:div>
                <w:div w:id="1527019864">
                  <w:marLeft w:val="0"/>
                  <w:marRight w:val="0"/>
                  <w:marTop w:val="0"/>
                  <w:marBottom w:val="0"/>
                  <w:divBdr>
                    <w:top w:val="none" w:sz="0" w:space="0" w:color="auto"/>
                    <w:left w:val="none" w:sz="0" w:space="0" w:color="auto"/>
                    <w:bottom w:val="none" w:sz="0" w:space="0" w:color="auto"/>
                    <w:right w:val="none" w:sz="0" w:space="0" w:color="auto"/>
                  </w:divBdr>
                  <w:divsChild>
                    <w:div w:id="1682003886">
                      <w:marLeft w:val="0"/>
                      <w:marRight w:val="0"/>
                      <w:marTop w:val="0"/>
                      <w:marBottom w:val="0"/>
                      <w:divBdr>
                        <w:top w:val="none" w:sz="0" w:space="0" w:color="auto"/>
                        <w:left w:val="none" w:sz="0" w:space="0" w:color="auto"/>
                        <w:bottom w:val="none" w:sz="0" w:space="0" w:color="auto"/>
                        <w:right w:val="none" w:sz="0" w:space="0" w:color="auto"/>
                      </w:divBdr>
                    </w:div>
                  </w:divsChild>
                </w:div>
                <w:div w:id="2126387343">
                  <w:marLeft w:val="0"/>
                  <w:marRight w:val="0"/>
                  <w:marTop w:val="0"/>
                  <w:marBottom w:val="0"/>
                  <w:divBdr>
                    <w:top w:val="none" w:sz="0" w:space="0" w:color="auto"/>
                    <w:left w:val="none" w:sz="0" w:space="0" w:color="auto"/>
                    <w:bottom w:val="none" w:sz="0" w:space="0" w:color="auto"/>
                    <w:right w:val="none" w:sz="0" w:space="0" w:color="auto"/>
                  </w:divBdr>
                  <w:divsChild>
                    <w:div w:id="3637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6518">
          <w:marLeft w:val="0"/>
          <w:marRight w:val="0"/>
          <w:marTop w:val="0"/>
          <w:marBottom w:val="0"/>
          <w:divBdr>
            <w:top w:val="none" w:sz="0" w:space="0" w:color="auto"/>
            <w:left w:val="none" w:sz="0" w:space="0" w:color="auto"/>
            <w:bottom w:val="none" w:sz="0" w:space="0" w:color="auto"/>
            <w:right w:val="none" w:sz="0" w:space="0" w:color="auto"/>
          </w:divBdr>
          <w:divsChild>
            <w:div w:id="342054705">
              <w:marLeft w:val="0"/>
              <w:marRight w:val="0"/>
              <w:marTop w:val="0"/>
              <w:marBottom w:val="0"/>
              <w:divBdr>
                <w:top w:val="none" w:sz="0" w:space="0" w:color="auto"/>
                <w:left w:val="none" w:sz="0" w:space="0" w:color="auto"/>
                <w:bottom w:val="none" w:sz="0" w:space="0" w:color="auto"/>
                <w:right w:val="none" w:sz="0" w:space="0" w:color="auto"/>
              </w:divBdr>
              <w:divsChild>
                <w:div w:id="335574269">
                  <w:marLeft w:val="0"/>
                  <w:marRight w:val="0"/>
                  <w:marTop w:val="0"/>
                  <w:marBottom w:val="0"/>
                  <w:divBdr>
                    <w:top w:val="none" w:sz="0" w:space="0" w:color="auto"/>
                    <w:left w:val="none" w:sz="0" w:space="0" w:color="auto"/>
                    <w:bottom w:val="none" w:sz="0" w:space="0" w:color="auto"/>
                    <w:right w:val="none" w:sz="0" w:space="0" w:color="auto"/>
                  </w:divBdr>
                  <w:divsChild>
                    <w:div w:id="1785074903">
                      <w:marLeft w:val="0"/>
                      <w:marRight w:val="0"/>
                      <w:marTop w:val="0"/>
                      <w:marBottom w:val="0"/>
                      <w:divBdr>
                        <w:top w:val="none" w:sz="0" w:space="0" w:color="auto"/>
                        <w:left w:val="none" w:sz="0" w:space="0" w:color="auto"/>
                        <w:bottom w:val="none" w:sz="0" w:space="0" w:color="auto"/>
                        <w:right w:val="none" w:sz="0" w:space="0" w:color="auto"/>
                      </w:divBdr>
                    </w:div>
                  </w:divsChild>
                </w:div>
                <w:div w:id="1771927244">
                  <w:marLeft w:val="0"/>
                  <w:marRight w:val="0"/>
                  <w:marTop w:val="0"/>
                  <w:marBottom w:val="0"/>
                  <w:divBdr>
                    <w:top w:val="none" w:sz="0" w:space="0" w:color="auto"/>
                    <w:left w:val="none" w:sz="0" w:space="0" w:color="auto"/>
                    <w:bottom w:val="none" w:sz="0" w:space="0" w:color="auto"/>
                    <w:right w:val="none" w:sz="0" w:space="0" w:color="auto"/>
                  </w:divBdr>
                  <w:divsChild>
                    <w:div w:id="574124943">
                      <w:marLeft w:val="0"/>
                      <w:marRight w:val="0"/>
                      <w:marTop w:val="0"/>
                      <w:marBottom w:val="0"/>
                      <w:divBdr>
                        <w:top w:val="none" w:sz="0" w:space="0" w:color="auto"/>
                        <w:left w:val="none" w:sz="0" w:space="0" w:color="auto"/>
                        <w:bottom w:val="none" w:sz="0" w:space="0" w:color="auto"/>
                        <w:right w:val="none" w:sz="0" w:space="0" w:color="auto"/>
                      </w:divBdr>
                      <w:divsChild>
                        <w:div w:id="253636715">
                          <w:marLeft w:val="0"/>
                          <w:marRight w:val="0"/>
                          <w:marTop w:val="0"/>
                          <w:marBottom w:val="0"/>
                          <w:divBdr>
                            <w:top w:val="none" w:sz="0" w:space="0" w:color="auto"/>
                            <w:left w:val="none" w:sz="0" w:space="0" w:color="auto"/>
                            <w:bottom w:val="none" w:sz="0" w:space="0" w:color="auto"/>
                            <w:right w:val="none" w:sz="0" w:space="0" w:color="auto"/>
                          </w:divBdr>
                          <w:divsChild>
                            <w:div w:id="6743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457162">
          <w:marLeft w:val="0"/>
          <w:marRight w:val="0"/>
          <w:marTop w:val="600"/>
          <w:marBottom w:val="0"/>
          <w:divBdr>
            <w:top w:val="none" w:sz="0" w:space="0" w:color="auto"/>
            <w:left w:val="none" w:sz="0" w:space="0" w:color="auto"/>
            <w:bottom w:val="none" w:sz="0" w:space="0" w:color="auto"/>
            <w:right w:val="none" w:sz="0" w:space="0" w:color="auto"/>
          </w:divBdr>
          <w:divsChild>
            <w:div w:id="538204977">
              <w:marLeft w:val="0"/>
              <w:marRight w:val="0"/>
              <w:marTop w:val="0"/>
              <w:marBottom w:val="0"/>
              <w:divBdr>
                <w:top w:val="none" w:sz="0" w:space="0" w:color="auto"/>
                <w:left w:val="none" w:sz="0" w:space="0" w:color="auto"/>
                <w:bottom w:val="none" w:sz="0" w:space="0" w:color="auto"/>
                <w:right w:val="none" w:sz="0" w:space="0" w:color="auto"/>
              </w:divBdr>
            </w:div>
            <w:div w:id="2127456785">
              <w:marLeft w:val="0"/>
              <w:marRight w:val="0"/>
              <w:marTop w:val="0"/>
              <w:marBottom w:val="0"/>
              <w:divBdr>
                <w:top w:val="none" w:sz="0" w:space="0" w:color="auto"/>
                <w:left w:val="none" w:sz="0" w:space="0" w:color="auto"/>
                <w:bottom w:val="none" w:sz="0" w:space="0" w:color="auto"/>
                <w:right w:val="none" w:sz="0" w:space="0" w:color="auto"/>
              </w:divBdr>
              <w:divsChild>
                <w:div w:id="68160359">
                  <w:marLeft w:val="-450"/>
                  <w:marRight w:val="0"/>
                  <w:marTop w:val="0"/>
                  <w:marBottom w:val="450"/>
                  <w:divBdr>
                    <w:top w:val="none" w:sz="0" w:space="0" w:color="auto"/>
                    <w:left w:val="none" w:sz="0" w:space="0" w:color="auto"/>
                    <w:bottom w:val="none" w:sz="0" w:space="0" w:color="auto"/>
                    <w:right w:val="none" w:sz="0" w:space="0" w:color="auto"/>
                  </w:divBdr>
                  <w:divsChild>
                    <w:div w:id="360398419">
                      <w:marLeft w:val="0"/>
                      <w:marRight w:val="0"/>
                      <w:marTop w:val="0"/>
                      <w:marBottom w:val="0"/>
                      <w:divBdr>
                        <w:top w:val="none" w:sz="0" w:space="0" w:color="auto"/>
                        <w:left w:val="none" w:sz="0" w:space="0" w:color="auto"/>
                        <w:bottom w:val="none" w:sz="0" w:space="0" w:color="auto"/>
                        <w:right w:val="none" w:sz="0" w:space="0" w:color="auto"/>
                      </w:divBdr>
                      <w:divsChild>
                        <w:div w:id="619605951">
                          <w:marLeft w:val="0"/>
                          <w:marRight w:val="0"/>
                          <w:marTop w:val="0"/>
                          <w:marBottom w:val="0"/>
                          <w:divBdr>
                            <w:top w:val="none" w:sz="0" w:space="0" w:color="auto"/>
                            <w:left w:val="none" w:sz="0" w:space="0" w:color="auto"/>
                            <w:bottom w:val="none" w:sz="0" w:space="0" w:color="auto"/>
                            <w:right w:val="none" w:sz="0" w:space="0" w:color="auto"/>
                          </w:divBdr>
                          <w:divsChild>
                            <w:div w:id="529219422">
                              <w:marLeft w:val="0"/>
                              <w:marRight w:val="0"/>
                              <w:marTop w:val="0"/>
                              <w:marBottom w:val="0"/>
                              <w:divBdr>
                                <w:top w:val="none" w:sz="0" w:space="0" w:color="auto"/>
                                <w:left w:val="none" w:sz="0" w:space="0" w:color="auto"/>
                                <w:bottom w:val="none" w:sz="0" w:space="0" w:color="auto"/>
                                <w:right w:val="none" w:sz="0" w:space="0" w:color="auto"/>
                              </w:divBdr>
                            </w:div>
                            <w:div w:id="11480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838418">
          <w:marLeft w:val="0"/>
          <w:marRight w:val="0"/>
          <w:marTop w:val="750"/>
          <w:marBottom w:val="0"/>
          <w:divBdr>
            <w:top w:val="single" w:sz="12" w:space="30" w:color="AA332F"/>
            <w:left w:val="none" w:sz="0" w:space="0" w:color="auto"/>
            <w:bottom w:val="none" w:sz="0" w:space="0" w:color="auto"/>
            <w:right w:val="none" w:sz="0" w:space="0" w:color="auto"/>
          </w:divBdr>
          <w:divsChild>
            <w:div w:id="691491334">
              <w:marLeft w:val="0"/>
              <w:marRight w:val="0"/>
              <w:marTop w:val="0"/>
              <w:marBottom w:val="0"/>
              <w:divBdr>
                <w:top w:val="none" w:sz="0" w:space="0" w:color="auto"/>
                <w:left w:val="none" w:sz="0" w:space="0" w:color="auto"/>
                <w:bottom w:val="none" w:sz="0" w:space="0" w:color="auto"/>
                <w:right w:val="none" w:sz="0" w:space="0" w:color="auto"/>
              </w:divBdr>
              <w:divsChild>
                <w:div w:id="254704299">
                  <w:marLeft w:val="0"/>
                  <w:marRight w:val="0"/>
                  <w:marTop w:val="0"/>
                  <w:marBottom w:val="0"/>
                  <w:divBdr>
                    <w:top w:val="none" w:sz="0" w:space="0" w:color="auto"/>
                    <w:left w:val="none" w:sz="0" w:space="0" w:color="auto"/>
                    <w:bottom w:val="none" w:sz="0" w:space="0" w:color="auto"/>
                    <w:right w:val="none" w:sz="0" w:space="0" w:color="auto"/>
                  </w:divBdr>
                </w:div>
                <w:div w:id="5905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review/r240328d.htm" TargetMode="External"/><Relationship Id="rId13" Type="http://schemas.openxmlformats.org/officeDocument/2006/relationships/hyperlink" Target="https://www.bis.org/cbspeeches/index.htm?cbspeeches_institutions=6" TargetMode="External"/><Relationship Id="rId3" Type="http://schemas.openxmlformats.org/officeDocument/2006/relationships/settings" Target="settings.xml"/><Relationship Id="rId7" Type="http://schemas.openxmlformats.org/officeDocument/2006/relationships/hyperlink" Target="https://www.bis.org/review/r240328d.htm" TargetMode="External"/><Relationship Id="rId12" Type="http://schemas.openxmlformats.org/officeDocument/2006/relationships/hyperlink" Target="https://www.ecb.europa.eu/pub/pdf/scpops/ecb.op333~1b97e436be.e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is.org/review/r240328d.pdf" TargetMode="External"/><Relationship Id="rId11" Type="http://schemas.openxmlformats.org/officeDocument/2006/relationships/hyperlink" Target="https://www.bis.org/bcbs/publ/d517.pdf" TargetMode="External"/><Relationship Id="rId5" Type="http://schemas.openxmlformats.org/officeDocument/2006/relationships/hyperlink" Target="https://www.bis.org/author/frank_elderson.htm" TargetMode="External"/><Relationship Id="rId15" Type="http://schemas.openxmlformats.org/officeDocument/2006/relationships/fontTable" Target="fontTable.xml"/><Relationship Id="rId10" Type="http://schemas.openxmlformats.org/officeDocument/2006/relationships/hyperlink" Target="https://www.ecb.europa.eu/pub/pdf/scpops/ecb.op328~2c44ee718e.en.pdf" TargetMode="External"/><Relationship Id="rId4" Type="http://schemas.openxmlformats.org/officeDocument/2006/relationships/webSettings" Target="webSettings.xml"/><Relationship Id="rId9" Type="http://schemas.openxmlformats.org/officeDocument/2006/relationships/hyperlink" Target="https://www.bis.org/review/r240328d.htm" TargetMode="External"/><Relationship Id="rId14" Type="http://schemas.openxmlformats.org/officeDocument/2006/relationships/hyperlink" Target="https://www.bis.org/country/EU.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2147</Words>
  <Characters>11810</Characters>
  <Application>Microsoft Office Word</Application>
  <DocSecurity>0</DocSecurity>
  <Lines>98</Lines>
  <Paragraphs>27</Paragraphs>
  <ScaleCrop>false</ScaleCrop>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4</cp:revision>
  <dcterms:created xsi:type="dcterms:W3CDTF">2024-04-18T02:41:00Z</dcterms:created>
  <dcterms:modified xsi:type="dcterms:W3CDTF">2024-07-09T03:06:00Z</dcterms:modified>
</cp:coreProperties>
</file>