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1F19" w14:textId="7631DF99" w:rsidR="00CA0372" w:rsidRPr="00CA0372" w:rsidRDefault="00CA0372" w:rsidP="00CA0372">
      <w:pPr>
        <w:jc w:val="both"/>
        <w:rPr>
          <w:sz w:val="28"/>
          <w:szCs w:val="28"/>
        </w:rPr>
      </w:pPr>
      <w:r w:rsidRPr="00CA0372">
        <w:rPr>
          <w:sz w:val="28"/>
          <w:szCs w:val="28"/>
        </w:rPr>
        <w:t>¿</w:t>
      </w:r>
      <w:r w:rsidR="00EB7D65">
        <w:rPr>
          <w:sz w:val="28"/>
          <w:szCs w:val="28"/>
        </w:rPr>
        <w:t xml:space="preserve">Acaso </w:t>
      </w:r>
      <w:r w:rsidRPr="00CA0372">
        <w:rPr>
          <w:sz w:val="28"/>
          <w:szCs w:val="28"/>
        </w:rPr>
        <w:t xml:space="preserve">la IA </w:t>
      </w:r>
      <w:r w:rsidR="00EB7D65">
        <w:rPr>
          <w:sz w:val="28"/>
          <w:szCs w:val="28"/>
        </w:rPr>
        <w:t xml:space="preserve">es </w:t>
      </w:r>
      <w:r w:rsidRPr="00CA0372">
        <w:rPr>
          <w:sz w:val="28"/>
          <w:szCs w:val="28"/>
        </w:rPr>
        <w:t>incompatible con el Net Zero?</w:t>
      </w:r>
    </w:p>
    <w:p w14:paraId="49BDD2EE" w14:textId="6461C029" w:rsidR="00CA0372" w:rsidRPr="00CA0372" w:rsidRDefault="00CA0372" w:rsidP="00CA0372">
      <w:pPr>
        <w:jc w:val="both"/>
      </w:pPr>
      <w:r w:rsidRPr="00CA0372">
        <w:rPr>
          <w:noProof/>
        </w:rPr>
        <w:drawing>
          <wp:inline distT="0" distB="0" distL="0" distR="0" wp14:anchorId="7C6DF6F5" wp14:editId="7F597DDF">
            <wp:extent cx="1760220" cy="1760220"/>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1251CDEE" w14:textId="0E440BB3" w:rsidR="00CA0372" w:rsidRPr="00CA0372" w:rsidRDefault="00CA0372" w:rsidP="00CA0372">
      <w:pPr>
        <w:jc w:val="both"/>
      </w:pPr>
      <w:r w:rsidRPr="00CA0372">
        <w:t>Por</w:t>
      </w:r>
      <w:r>
        <w:t xml:space="preserve">: </w:t>
      </w:r>
      <w:hyperlink r:id="rId6" w:tooltip="Posts by Alan Riley, epi Consulting" w:history="1">
        <w:r w:rsidRPr="00CA0372">
          <w:rPr>
            <w:rStyle w:val="Hipervnculo"/>
          </w:rPr>
          <w:t xml:space="preserve">Alan Riley, </w:t>
        </w:r>
        <w:r w:rsidR="00280D25" w:rsidRPr="00CA0372">
          <w:rPr>
            <w:rStyle w:val="Hipervnculo"/>
          </w:rPr>
          <w:t>EPI</w:t>
        </w:r>
        <w:r w:rsidRPr="00CA0372">
          <w:rPr>
            <w:rStyle w:val="Hipervnculo"/>
          </w:rPr>
          <w:t xml:space="preserve"> Consulting</w:t>
        </w:r>
      </w:hyperlink>
    </w:p>
    <w:p w14:paraId="62714EE0" w14:textId="77777777" w:rsidR="00CA0372" w:rsidRPr="00CA0372" w:rsidRDefault="00CA0372" w:rsidP="00CA0372">
      <w:pPr>
        <w:jc w:val="both"/>
      </w:pPr>
      <w:r w:rsidRPr="00CA0372">
        <w:t>19 de julio de 2024</w:t>
      </w:r>
    </w:p>
    <w:p w14:paraId="2FEBDA17" w14:textId="54A86372" w:rsidR="00CA0372" w:rsidRPr="00CA0372" w:rsidRDefault="00CA0372" w:rsidP="00CA0372">
      <w:pPr>
        <w:jc w:val="both"/>
        <w:rPr>
          <w:b/>
          <w:bCs/>
        </w:rPr>
      </w:pPr>
      <w:r w:rsidRPr="00CA0372">
        <w:rPr>
          <w:b/>
          <w:bCs/>
        </w:rPr>
        <w:t xml:space="preserve">Alan Riley, director de </w:t>
      </w:r>
      <w:r w:rsidR="00280D25" w:rsidRPr="00CA0372">
        <w:rPr>
          <w:b/>
          <w:bCs/>
        </w:rPr>
        <w:t>EPI</w:t>
      </w:r>
      <w:r w:rsidRPr="00CA0372">
        <w:rPr>
          <w:b/>
          <w:bCs/>
        </w:rPr>
        <w:t xml:space="preserve"> Consulting, analiza estrategias para reducir las emisiones de alcance 3 en un sector tecnológico cada vez más intensivo en carbono.</w:t>
      </w:r>
    </w:p>
    <w:p w14:paraId="061A81B8" w14:textId="77777777" w:rsidR="00CA0372" w:rsidRPr="00CA0372" w:rsidRDefault="00CA0372" w:rsidP="00CA0372">
      <w:pPr>
        <w:jc w:val="both"/>
      </w:pPr>
      <w:r w:rsidRPr="00CA0372">
        <w:t>La compra récord de créditos de eliminación de carbono por parte de Microsoft, de 1PointFive, refleja la comprensión de que, dado que los centros de datos de IA aumentan sus emisiones, la empresa debe hacer algo, o arriesgarse a perder su objetivo de cero emisiones netas. Google también ha centrado su atención en la eliminación de carbono. Y vendrán más: el sector tecnológico en general es cada vez más intensivo en carbono; al mismo tiempo, el crecimiento explosivo de la IA no muestra signos de desaceleración.</w:t>
      </w:r>
    </w:p>
    <w:p w14:paraId="41EF2FC2" w14:textId="77777777" w:rsidR="00CA0372" w:rsidRPr="00CA0372" w:rsidRDefault="00CA0372" w:rsidP="00CA0372">
      <w:pPr>
        <w:jc w:val="both"/>
      </w:pPr>
      <w:r w:rsidRPr="00CA0372">
        <w:t>Esto es un comienzo. Pero la realidad es que las empresas que compran créditos pueden dar la impresión de estar abordando el cambio climático sin hacer esfuerzos significativos para reducir sus propias emisiones. Las dos cosas no son mutuamente excluyentes (de hecho, pueden funcionar eficazmente en conjunto). Sin embargo, en la práctica, la compra de créditos puede impedir que las empresas persigan el tipo de cambio sistémico necesario para reducir realmente su huella de carbono.</w:t>
      </w:r>
    </w:p>
    <w:p w14:paraId="1007FCFF" w14:textId="77777777" w:rsidR="00CA0372" w:rsidRPr="00CA0372" w:rsidRDefault="00CA0372" w:rsidP="00CA0372">
      <w:pPr>
        <w:jc w:val="both"/>
      </w:pPr>
      <w:r w:rsidRPr="00CA0372">
        <w:t>Hasta cierto punto, esto es justificable. Reducir su huella de carbono significa lidiar con el Alcance 3, y eso puede ser intimidante.</w:t>
      </w:r>
    </w:p>
    <w:p w14:paraId="1D817C1C" w14:textId="77777777" w:rsidR="00CA0372" w:rsidRPr="00CA0372" w:rsidRDefault="00CA0372" w:rsidP="00CA0372">
      <w:pPr>
        <w:jc w:val="both"/>
        <w:rPr>
          <w:b/>
          <w:bCs/>
        </w:rPr>
      </w:pPr>
      <w:r w:rsidRPr="00CA0372">
        <w:rPr>
          <w:b/>
          <w:bCs/>
        </w:rPr>
        <w:t>El reto del Alcance 3</w:t>
      </w:r>
    </w:p>
    <w:p w14:paraId="0B82FDDD" w14:textId="77777777" w:rsidR="00CA0372" w:rsidRPr="00CA0372" w:rsidRDefault="00CA0372" w:rsidP="00CA0372">
      <w:pPr>
        <w:jc w:val="both"/>
      </w:pPr>
      <w:r w:rsidRPr="00CA0372">
        <w:t>¿A qué se debe esto? Se trata de control. El alcance 3 agrupa todas las emisiones de gases de efecto invernadero a lo largo de la cadena de valor de una empresa y, por lo tanto, representa la mayoría de sus emisiones. A diferencia del Alcance 2, que se puede abordar, por ejemplo, reduciendo el consumo de energía o pasando a la energía verde, y el Alcance 1, que puede abordarse mediante acciones como la adopción de vehículos eléctricos de empresa, por ejemplo, el Alcance 3 se encuentra principalmente fuera del control directo de una organización.</w:t>
      </w:r>
    </w:p>
    <w:p w14:paraId="3B51C9E6" w14:textId="77777777" w:rsidR="00CA0372" w:rsidRPr="00CA0372" w:rsidRDefault="00CA0372" w:rsidP="00CA0372">
      <w:pPr>
        <w:jc w:val="both"/>
      </w:pPr>
      <w:r w:rsidRPr="00CA0372">
        <w:t xml:space="preserve">Estas emisiones están influenciadas por muchos factores. Hay que tener en cuenta los métodos de producción de los proveedores, los patrones de viaje de los empleados, la disponibilidad de materiales con bajas emisiones de carbono y energía renovable en la cadena de suministro. Si es así, </w:t>
      </w:r>
      <w:r w:rsidRPr="00CA0372">
        <w:lastRenderedPageBreak/>
        <w:t>las reducciones de emisiones de alcance 3 son alcanzables: el análisis, la priorización y el compromiso son las claves.</w:t>
      </w:r>
    </w:p>
    <w:p w14:paraId="4BBB4263" w14:textId="77777777" w:rsidR="00CA0372" w:rsidRPr="00CA0372" w:rsidRDefault="00CA0372" w:rsidP="00CA0372">
      <w:pPr>
        <w:jc w:val="both"/>
        <w:rPr>
          <w:b/>
          <w:bCs/>
        </w:rPr>
      </w:pPr>
      <w:r w:rsidRPr="00CA0372">
        <w:rPr>
          <w:b/>
          <w:bCs/>
        </w:rPr>
        <w:t>Identifique los puntos calientes</w:t>
      </w:r>
    </w:p>
    <w:p w14:paraId="69EEB4E4" w14:textId="305F7FEA" w:rsidR="00CA0372" w:rsidRPr="00CA0372" w:rsidRDefault="00CA0372" w:rsidP="00CA0372">
      <w:pPr>
        <w:jc w:val="both"/>
      </w:pPr>
      <w:r w:rsidRPr="00CA0372">
        <w:t>En primer lugar, las empresas deben identificar las mayores fuentes de emisiones de alcance 3. Las estimaciones de alto nivel servirán. Esto variará dependiendo de su industria, pero</w:t>
      </w:r>
      <w:r w:rsidR="001345D7">
        <w:t xml:space="preserve"> </w:t>
      </w:r>
      <w:hyperlink r:id="rId7" w:history="1">
        <w:r w:rsidRPr="00CA0372">
          <w:rPr>
            <w:rStyle w:val="Hipervnculo"/>
            <w:b/>
            <w:bCs/>
          </w:rPr>
          <w:t>un informe de CDP</w:t>
        </w:r>
      </w:hyperlink>
      <w:r w:rsidR="001345D7">
        <w:t xml:space="preserve"> </w:t>
      </w:r>
      <w:r w:rsidRPr="00CA0372">
        <w:t>reveló que el uso de productos vendidos (57%) y bienes y servicios comprados (17%) se dijo más comúnmente como los principales puntos críticos de emisiones de las empresas. La selección para identificar las fuentes principales debe ser sencilla.</w:t>
      </w:r>
    </w:p>
    <w:p w14:paraId="059E825F" w14:textId="77777777" w:rsidR="00CA0372" w:rsidRPr="00CA0372" w:rsidRDefault="00CA0372" w:rsidP="00CA0372">
      <w:pPr>
        <w:jc w:val="both"/>
        <w:rPr>
          <w:b/>
          <w:bCs/>
        </w:rPr>
      </w:pPr>
      <w:r w:rsidRPr="00CA0372">
        <w:rPr>
          <w:b/>
          <w:bCs/>
        </w:rPr>
        <w:t>Clasificar a los proveedores</w:t>
      </w:r>
    </w:p>
    <w:p w14:paraId="2CFC2D70" w14:textId="77777777" w:rsidR="00CA0372" w:rsidRPr="00CA0372" w:rsidRDefault="00CA0372" w:rsidP="00CA0372">
      <w:pPr>
        <w:jc w:val="both"/>
      </w:pPr>
      <w:r w:rsidRPr="00CA0372">
        <w:t>Las principales categorías de Alcance 3 se relacionan con la cadena de suministro. Es por eso que el siguiente paso importante para la mayoría de las empresas que abordan las emisiones de alcance 3 implica comprometerse con proveedores de altas emisiones. Trabaje con sus equipos de gestión de compras o proveedores para comprender los gastos y armar un inventario de proveedores. Los análisis documentales de las compras anuales, junto con los factores de emisiones promedio de la industria o la información sobre emisiones específicas del proveedor, son un buen enfoque. Produce una clasificación de los proveedores con mayores emisiones, y eso puede ser la base de la colaboración directa en los esfuerzos de reducción de emisiones.</w:t>
      </w:r>
    </w:p>
    <w:p w14:paraId="6167DAA2" w14:textId="77777777" w:rsidR="00CA0372" w:rsidRPr="00CA0372" w:rsidRDefault="00CA0372" w:rsidP="00CA0372">
      <w:pPr>
        <w:jc w:val="both"/>
        <w:rPr>
          <w:b/>
          <w:bCs/>
        </w:rPr>
      </w:pPr>
      <w:r w:rsidRPr="00CA0372">
        <w:rPr>
          <w:b/>
          <w:bCs/>
        </w:rPr>
        <w:t>Genera un impacto</w:t>
      </w:r>
    </w:p>
    <w:p w14:paraId="683B547D" w14:textId="77777777" w:rsidR="00CA0372" w:rsidRPr="00CA0372" w:rsidRDefault="00CA0372" w:rsidP="00CA0372">
      <w:pPr>
        <w:jc w:val="both"/>
      </w:pPr>
      <w:r w:rsidRPr="00CA0372">
        <w:t>Para lograr reducciones significativas de emisiones, concéntrese en áreas de alto impacto en lugar de soluciones fáciles. Un pequeño número de proveedores a menudo representa una gran parte de sus emisiones. La colaboración con estos proveedores clave puede reducir sustancialmente sus emisiones generales de alcance 3. Comience por involucrar a estos proveedores en las evaluaciones del ciclo de vida de sus principales productos o servicios. Estas evaluaciones evalúan el impacto ambiental desde la extracción de materias primas hasta la eliminación del producto, identificando oportunidades para mejorar la sostenibilidad.</w:t>
      </w:r>
    </w:p>
    <w:p w14:paraId="47251EDE" w14:textId="77777777" w:rsidR="00CA0372" w:rsidRPr="00CA0372" w:rsidRDefault="00CA0372" w:rsidP="00CA0372">
      <w:pPr>
        <w:jc w:val="both"/>
        <w:rPr>
          <w:b/>
          <w:bCs/>
        </w:rPr>
      </w:pPr>
      <w:r w:rsidRPr="00CA0372">
        <w:rPr>
          <w:b/>
          <w:bCs/>
        </w:rPr>
        <w:t>Busca ganancias rápidas</w:t>
      </w:r>
    </w:p>
    <w:p w14:paraId="761E1438" w14:textId="77777777" w:rsidR="00CA0372" w:rsidRPr="00CA0372" w:rsidRDefault="00CA0372" w:rsidP="00CA0372">
      <w:pPr>
        <w:jc w:val="both"/>
      </w:pPr>
      <w:r w:rsidRPr="00CA0372">
        <w:t>Si bien algunas mejoras de productos pueden requerir rediseños completos o nuevas generaciones de productos, un método más rápido y eficaz es alentar a los proveedores a hacer la transición de sus instalaciones de producción a energía verde. Este cambio puede reducir significativamente su contribución a sus emisiones de alcance 3. Además, dado que es probable que las próximas regulaciones ecológicas exijan tales cambios, es prudente asegurar compromisos tempranos de los proveedores y establecer contratos a largo plazo que puedan ser rentables. Los proveedores de nivel 1 pueden propagar estas prácticas a lo largo de la cadena de suministro.</w:t>
      </w:r>
    </w:p>
    <w:p w14:paraId="7AFAA5EC" w14:textId="77777777" w:rsidR="00CA0372" w:rsidRPr="00CA0372" w:rsidRDefault="00CA0372" w:rsidP="00CA0372">
      <w:pPr>
        <w:jc w:val="both"/>
        <w:rPr>
          <w:b/>
          <w:bCs/>
        </w:rPr>
      </w:pPr>
      <w:r w:rsidRPr="00CA0372">
        <w:rPr>
          <w:b/>
          <w:bCs/>
        </w:rPr>
        <w:t>Mantente comprometido</w:t>
      </w:r>
    </w:p>
    <w:p w14:paraId="7CBC390E" w14:textId="77777777" w:rsidR="00CA0372" w:rsidRPr="00CA0372" w:rsidRDefault="00CA0372" w:rsidP="00CA0372">
      <w:pPr>
        <w:jc w:val="both"/>
      </w:pPr>
      <w:r w:rsidRPr="00CA0372">
        <w:t xml:space="preserve">Una estrategia sólida de alcance 3 depende de una comunicación sostenida con su cadena de suministro. Las empresas deben fomentar las relaciones con los proveedores para mejorar la conciencia climática, garantizar la alineación con la sostenibilidad y reducir colectivamente las emisiones sin interrupciones operativas. El objetivo es cultivar un entendimiento compartido de que </w:t>
      </w:r>
      <w:r w:rsidRPr="00CA0372">
        <w:lastRenderedPageBreak/>
        <w:t>todas las empresas del ecosistema desempeñan un papel crucial en la reducción de las emisiones de alcance 3.</w:t>
      </w:r>
    </w:p>
    <w:p w14:paraId="5BE5C4B2" w14:textId="77777777" w:rsidR="00CA0372" w:rsidRPr="00CA0372" w:rsidRDefault="00CA0372" w:rsidP="00CA0372">
      <w:pPr>
        <w:jc w:val="both"/>
        <w:rPr>
          <w:b/>
          <w:bCs/>
        </w:rPr>
      </w:pPr>
      <w:r w:rsidRPr="00CA0372">
        <w:rPr>
          <w:b/>
          <w:bCs/>
        </w:rPr>
        <w:t>Una reflexión final</w:t>
      </w:r>
    </w:p>
    <w:p w14:paraId="18B7CF30" w14:textId="77777777" w:rsidR="00CA0372" w:rsidRPr="00CA0372" w:rsidRDefault="00CA0372" w:rsidP="00CA0372">
      <w:pPr>
        <w:jc w:val="both"/>
      </w:pPr>
      <w:r w:rsidRPr="00CA0372">
        <w:t>Los acontecimientos recientes ponen de relieve la transición hacia un futuro sostenible y con bajas emisiones de carbono en el que la gestión de las emisiones de alcance 3 se convertirá en una expectativa estándar. Las empresas que se resistan a estos cambios se arriesgan a sanciones no solo en términos regulatorios sino también en la reputación de la marca. Por el contrario, aquellos que adopten estos cambios serán vistos como líderes e innovadores de la industria. Aunque la tarea puede parecer un desafío, hemos esbozado pasos prácticos para que las empresas comiencen a abordar las emisiones de alcance 3 a través de un compromiso y una colaboración efectivos.</w:t>
      </w:r>
    </w:p>
    <w:p w14:paraId="69F6B7C3" w14:textId="46A08A84" w:rsidR="00CA0372" w:rsidRPr="00CA0372" w:rsidRDefault="00CA0372" w:rsidP="00CA0372">
      <w:pPr>
        <w:jc w:val="both"/>
      </w:pPr>
      <w:r w:rsidRPr="00CA0372">
        <w:t xml:space="preserve">ARTÍCULOS RELACIONADOS: </w:t>
      </w:r>
      <w:hyperlink r:id="rId8" w:history="1">
        <w:r w:rsidRPr="00CA0372">
          <w:rPr>
            <w:rStyle w:val="Hipervnculo"/>
          </w:rPr>
          <w:t>IA,</w:t>
        </w:r>
      </w:hyperlink>
      <w:r w:rsidR="001345D7">
        <w:t xml:space="preserve"> </w:t>
      </w:r>
      <w:hyperlink r:id="rId9" w:history="1">
        <w:r w:rsidRPr="00CA0372">
          <w:rPr>
            <w:rStyle w:val="Hipervnculo"/>
          </w:rPr>
          <w:t>EMISIONES DE CARBONO,</w:t>
        </w:r>
      </w:hyperlink>
      <w:r w:rsidR="001345D7">
        <w:rPr>
          <w:rStyle w:val="Hipervnculo"/>
        </w:rPr>
        <w:t xml:space="preserve"> </w:t>
      </w:r>
      <w:hyperlink r:id="rId10" w:history="1">
        <w:r w:rsidRPr="00CA0372">
          <w:rPr>
            <w:rStyle w:val="Hipervnculo"/>
          </w:rPr>
          <w:t>REDUCCIÓN DE EMISIONES,</w:t>
        </w:r>
      </w:hyperlink>
      <w:r w:rsidR="001345D7">
        <w:rPr>
          <w:rStyle w:val="Hipervnculo"/>
        </w:rPr>
        <w:t xml:space="preserve"> </w:t>
      </w:r>
      <w:hyperlink r:id="rId11" w:history="1">
        <w:r w:rsidRPr="00CA0372">
          <w:rPr>
            <w:rStyle w:val="Hipervnculo"/>
          </w:rPr>
          <w:t>CERO EMISIONES NETAS 2050</w:t>
        </w:r>
      </w:hyperlink>
      <w:r w:rsidRPr="00CA0372">
        <w:t>,</w:t>
      </w:r>
      <w:r w:rsidR="001345D7">
        <w:t xml:space="preserve"> </w:t>
      </w:r>
      <w:hyperlink r:id="rId12" w:history="1">
        <w:r w:rsidRPr="00CA0372">
          <w:rPr>
            <w:rStyle w:val="Hipervnculo"/>
          </w:rPr>
          <w:t>TECNOLOGÍA</w:t>
        </w:r>
      </w:hyperlink>
    </w:p>
    <w:p w14:paraId="15279FF1" w14:textId="56C5BCED" w:rsidR="00571DB8" w:rsidRDefault="00571DB8" w:rsidP="00CA0372">
      <w:pPr>
        <w:jc w:val="both"/>
      </w:pPr>
    </w:p>
    <w:p w14:paraId="7AEDAA88" w14:textId="0AB42CD4" w:rsidR="001345D7" w:rsidRDefault="001345D7" w:rsidP="00CA0372">
      <w:pPr>
        <w:jc w:val="both"/>
      </w:pPr>
    </w:p>
    <w:p w14:paraId="3D287996" w14:textId="54CD4EA6" w:rsidR="001345D7" w:rsidRDefault="001345D7" w:rsidP="00CA0372">
      <w:pPr>
        <w:jc w:val="both"/>
      </w:pPr>
    </w:p>
    <w:p w14:paraId="634F2A5E" w14:textId="31A3BA16" w:rsidR="001345D7" w:rsidRDefault="001345D7" w:rsidP="00CA0372">
      <w:pPr>
        <w:jc w:val="both"/>
      </w:pPr>
    </w:p>
    <w:p w14:paraId="7126B0A3" w14:textId="74534477" w:rsidR="001345D7" w:rsidRDefault="001345D7" w:rsidP="00CA0372">
      <w:pPr>
        <w:jc w:val="both"/>
      </w:pPr>
    </w:p>
    <w:p w14:paraId="39766EC2" w14:textId="0F83E71D" w:rsidR="001345D7" w:rsidRDefault="001345D7" w:rsidP="00CA0372">
      <w:pPr>
        <w:jc w:val="both"/>
      </w:pPr>
    </w:p>
    <w:p w14:paraId="524606D2" w14:textId="63808479" w:rsidR="001345D7" w:rsidRDefault="001345D7" w:rsidP="00CA0372">
      <w:pPr>
        <w:jc w:val="both"/>
      </w:pPr>
    </w:p>
    <w:p w14:paraId="5466FC29" w14:textId="0DE48172" w:rsidR="001345D7" w:rsidRDefault="001345D7" w:rsidP="00CA0372">
      <w:pPr>
        <w:jc w:val="both"/>
      </w:pPr>
    </w:p>
    <w:p w14:paraId="1246B002" w14:textId="3CDAFC0B" w:rsidR="001345D7" w:rsidRDefault="001345D7" w:rsidP="00CA0372">
      <w:pPr>
        <w:jc w:val="both"/>
      </w:pPr>
    </w:p>
    <w:p w14:paraId="3803F821" w14:textId="0B52E46E" w:rsidR="001345D7" w:rsidRDefault="001345D7" w:rsidP="00CA0372">
      <w:pPr>
        <w:jc w:val="both"/>
      </w:pPr>
    </w:p>
    <w:p w14:paraId="06120CA8" w14:textId="7D7C4173" w:rsidR="001345D7" w:rsidRDefault="001345D7" w:rsidP="00CA0372">
      <w:pPr>
        <w:jc w:val="both"/>
      </w:pPr>
    </w:p>
    <w:p w14:paraId="22E7D05D" w14:textId="323155BB" w:rsidR="001345D7" w:rsidRDefault="001345D7" w:rsidP="00CA0372">
      <w:pPr>
        <w:jc w:val="both"/>
      </w:pPr>
    </w:p>
    <w:p w14:paraId="29B2A786" w14:textId="45D1892F" w:rsidR="001345D7" w:rsidRDefault="001345D7" w:rsidP="00CA0372">
      <w:pPr>
        <w:jc w:val="both"/>
      </w:pPr>
    </w:p>
    <w:p w14:paraId="1288B12F" w14:textId="21021B23" w:rsidR="001345D7" w:rsidRDefault="001345D7" w:rsidP="00CA0372">
      <w:pPr>
        <w:jc w:val="both"/>
      </w:pPr>
    </w:p>
    <w:p w14:paraId="68D7D6FE" w14:textId="77777777" w:rsidR="001345D7" w:rsidRDefault="001345D7" w:rsidP="00CA0372">
      <w:pPr>
        <w:jc w:val="both"/>
      </w:pPr>
    </w:p>
    <w:p w14:paraId="36B350A8" w14:textId="101CB0BF" w:rsidR="001345D7" w:rsidRDefault="001345D7" w:rsidP="00CA0372">
      <w:pPr>
        <w:jc w:val="both"/>
      </w:pPr>
      <w:r w:rsidRPr="001345D7">
        <w:rPr>
          <w:noProof/>
        </w:rPr>
        <w:drawing>
          <wp:inline distT="0" distB="0" distL="0" distR="0" wp14:anchorId="37B53E71" wp14:editId="3F295196">
            <wp:extent cx="2762636" cy="115268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2636" cy="1152686"/>
                    </a:xfrm>
                    <a:prstGeom prst="rect">
                      <a:avLst/>
                    </a:prstGeom>
                  </pic:spPr>
                </pic:pic>
              </a:graphicData>
            </a:graphic>
          </wp:inline>
        </w:drawing>
      </w:r>
    </w:p>
    <w:p w14:paraId="59A15AE5" w14:textId="77777777" w:rsidR="001345D7" w:rsidRPr="001345D7" w:rsidRDefault="001345D7" w:rsidP="001345D7">
      <w:pPr>
        <w:jc w:val="both"/>
        <w:rPr>
          <w:b/>
          <w:bCs/>
        </w:rPr>
      </w:pPr>
      <w:r w:rsidRPr="001345D7">
        <w:rPr>
          <w:b/>
          <w:bCs/>
        </w:rPr>
        <w:lastRenderedPageBreak/>
        <w:t>Solo el 37% de las emisiones de alcance 3 de las empresas europeas se abordan con medidas de descarbonización corporativa</w:t>
      </w:r>
    </w:p>
    <w:p w14:paraId="1E28FBC1" w14:textId="77777777" w:rsidR="001345D7" w:rsidRPr="001345D7" w:rsidRDefault="001345D7" w:rsidP="001345D7">
      <w:pPr>
        <w:jc w:val="both"/>
      </w:pPr>
      <w:r w:rsidRPr="001345D7">
        <w:t>13 de julio de 2023</w:t>
      </w:r>
    </w:p>
    <w:p w14:paraId="254ED88E" w14:textId="77777777" w:rsidR="001345D7" w:rsidRPr="001345D7" w:rsidRDefault="001345D7" w:rsidP="001345D7">
      <w:pPr>
        <w:jc w:val="both"/>
      </w:pPr>
      <w:r w:rsidRPr="001345D7">
        <w:rPr>
          <w:i/>
          <w:iCs/>
        </w:rPr>
        <w:t>Un nuevo informe de Capgemini y CDP revela que los mayores puntos críticos de emisiones están siendo pasados por alto por las estrategias de descarbonización de las empresas en Europa.</w:t>
      </w:r>
    </w:p>
    <w:p w14:paraId="5CD69753" w14:textId="58765220" w:rsidR="001345D7" w:rsidRPr="001345D7" w:rsidRDefault="001345D7" w:rsidP="001345D7">
      <w:pPr>
        <w:numPr>
          <w:ilvl w:val="0"/>
          <w:numId w:val="2"/>
        </w:numPr>
        <w:jc w:val="both"/>
      </w:pPr>
      <w:r w:rsidRPr="001345D7">
        <w:t>La inmensa</w:t>
      </w:r>
      <w:r>
        <w:t xml:space="preserve"> </w:t>
      </w:r>
      <w:r w:rsidRPr="001345D7">
        <w:rPr>
          <w:b/>
          <w:bCs/>
        </w:rPr>
        <w:t>mayoría de las emisiones (92%) divulgadas por las empresas europeas en 2022 fueron de alcance 3</w:t>
      </w:r>
      <w:r w:rsidRPr="001345D7">
        <w:t>.</w:t>
      </w:r>
    </w:p>
    <w:p w14:paraId="2F783FE4" w14:textId="312FEDBA" w:rsidR="001345D7" w:rsidRPr="001345D7" w:rsidRDefault="001345D7" w:rsidP="001345D7">
      <w:pPr>
        <w:numPr>
          <w:ilvl w:val="0"/>
          <w:numId w:val="2"/>
        </w:numPr>
        <w:jc w:val="both"/>
      </w:pPr>
      <w:r w:rsidRPr="001345D7">
        <w:t>Pero</w:t>
      </w:r>
      <w:r>
        <w:t xml:space="preserve"> </w:t>
      </w:r>
      <w:r w:rsidRPr="001345D7">
        <w:rPr>
          <w:b/>
          <w:bCs/>
        </w:rPr>
        <w:t>solo el 37% de estos se están abordando</w:t>
      </w:r>
      <w:r>
        <w:t xml:space="preserve"> </w:t>
      </w:r>
      <w:r w:rsidRPr="001345D7">
        <w:t>con las medidas de descarbonización actuales.</w:t>
      </w:r>
    </w:p>
    <w:p w14:paraId="3337E785" w14:textId="3DE3217F" w:rsidR="001345D7" w:rsidRPr="001345D7" w:rsidRDefault="001345D7" w:rsidP="001345D7">
      <w:pPr>
        <w:numPr>
          <w:ilvl w:val="0"/>
          <w:numId w:val="2"/>
        </w:numPr>
        <w:jc w:val="both"/>
      </w:pPr>
      <w:r w:rsidRPr="001345D7">
        <w:t>Las</w:t>
      </w:r>
      <w:r>
        <w:t xml:space="preserve"> </w:t>
      </w:r>
      <w:r w:rsidRPr="001345D7">
        <w:rPr>
          <w:b/>
          <w:bCs/>
        </w:rPr>
        <w:t>emisiones directas de las empresas se redujeron un 14%</w:t>
      </w:r>
      <w:r>
        <w:rPr>
          <w:b/>
          <w:bCs/>
        </w:rPr>
        <w:t xml:space="preserve"> </w:t>
      </w:r>
      <w:r w:rsidRPr="001345D7">
        <w:t>entre 2019 y 2022.</w:t>
      </w:r>
    </w:p>
    <w:p w14:paraId="25CADD5B" w14:textId="5564CA82" w:rsidR="001345D7" w:rsidRPr="001345D7" w:rsidRDefault="001345D7" w:rsidP="001345D7">
      <w:pPr>
        <w:numPr>
          <w:ilvl w:val="0"/>
          <w:numId w:val="2"/>
        </w:numPr>
        <w:jc w:val="both"/>
      </w:pPr>
      <w:r w:rsidRPr="001345D7">
        <w:rPr>
          <w:b/>
          <w:bCs/>
        </w:rPr>
        <w:t>Casi la mitad (47%) de las empresas analizadas tienen objetivos a corto plazo basados en la ciencia.</w:t>
      </w:r>
      <w:r>
        <w:rPr>
          <w:b/>
          <w:bCs/>
        </w:rPr>
        <w:t xml:space="preserve"> </w:t>
      </w:r>
      <w:r w:rsidRPr="001345D7">
        <w:t>Pero</w:t>
      </w:r>
      <w:r>
        <w:t xml:space="preserve"> </w:t>
      </w:r>
      <w:r w:rsidRPr="001345D7">
        <w:rPr>
          <w:b/>
          <w:bCs/>
        </w:rPr>
        <w:t>solo el 8% tiene objetivos de cero emisiones</w:t>
      </w:r>
    </w:p>
    <w:p w14:paraId="65CA0AA8" w14:textId="425A4852" w:rsidR="001345D7" w:rsidRDefault="001345D7" w:rsidP="001345D7">
      <w:pPr>
        <w:spacing w:after="0"/>
        <w:jc w:val="both"/>
      </w:pPr>
      <w:r w:rsidRPr="001345D7">
        <w:rPr>
          <w:b/>
          <w:bCs/>
        </w:rPr>
        <w:t>13 de julio de 2023 (Berlín/París):</w:t>
      </w:r>
      <w:r>
        <w:rPr>
          <w:b/>
          <w:bCs/>
        </w:rPr>
        <w:t xml:space="preserve"> </w:t>
      </w:r>
      <w:r w:rsidRPr="001345D7">
        <w:t>Las empresas europeas se esfuerzan por establecer acciones impactantes para los puntos críticos de emisiones importantes, ya que solo el 37% de las emisiones de alcance 3 [1] están actualmente cubiertas por medidas de descarbonización. Así se desprende de un nuevo informe de investigación conjunto de</w:t>
      </w:r>
      <w:r>
        <w:t xml:space="preserve"> </w:t>
      </w:r>
      <w:hyperlink r:id="rId14" w:history="1">
        <w:r w:rsidRPr="001345D7">
          <w:rPr>
            <w:rStyle w:val="Hipervnculo"/>
          </w:rPr>
          <w:t>Capgemini Invent</w:t>
        </w:r>
      </w:hyperlink>
      <w:r>
        <w:t xml:space="preserve"> </w:t>
      </w:r>
      <w:r w:rsidRPr="001345D7">
        <w:t>y</w:t>
      </w:r>
      <w:r>
        <w:t xml:space="preserve"> </w:t>
      </w:r>
      <w:hyperlink r:id="rId15" w:history="1">
        <w:r w:rsidRPr="001345D7">
          <w:rPr>
            <w:rStyle w:val="Hipervnculo"/>
          </w:rPr>
          <w:t>CDP</w:t>
        </w:r>
      </w:hyperlink>
      <w:r>
        <w:t xml:space="preserve"> </w:t>
      </w:r>
      <w:r w:rsidRPr="001345D7">
        <w:t>publicado hoy,</w:t>
      </w:r>
      <w:r>
        <w:t xml:space="preserve"> </w:t>
      </w:r>
      <w:hyperlink r:id="rId16" w:tgtFrame="_blank" w:history="1">
        <w:r w:rsidRPr="001345D7">
          <w:rPr>
            <w:rStyle w:val="Hipervnculo"/>
          </w:rPr>
          <w:t>'From Stroll to Sprint: A race against time for corporate decarbonization</w:t>
        </w:r>
      </w:hyperlink>
      <w:r w:rsidRPr="001345D7">
        <w:t>', que analiza las estrategias de descarbonización corporativa en Europa en 17 sectores, y cómo han evolucionado entre 2019 y 2022.</w:t>
      </w:r>
    </w:p>
    <w:p w14:paraId="51DFC2D1" w14:textId="2B7B3B6E" w:rsidR="001345D7" w:rsidRDefault="001345D7" w:rsidP="001345D7">
      <w:pPr>
        <w:spacing w:after="0"/>
        <w:jc w:val="both"/>
      </w:pPr>
      <w:r w:rsidRPr="001345D7">
        <w:t>Los resultados muestran una tendencia creciente entre las empresas europeas en lo que respecta a la descarbonización, la transparencia y los compromisos, con un aumento del 56% en la divulgación de emisiones a CDP en los últimos tres años. Sin embargo, sigue existiendo una brecha persistente entre esta transparencia y la acción.</w:t>
      </w:r>
    </w:p>
    <w:p w14:paraId="4BA4A678" w14:textId="41A0C074" w:rsidR="001345D7" w:rsidRDefault="001345D7" w:rsidP="001345D7">
      <w:pPr>
        <w:spacing w:after="0"/>
        <w:jc w:val="both"/>
      </w:pPr>
      <w:r w:rsidRPr="001345D7">
        <w:t>La</w:t>
      </w:r>
      <w:r>
        <w:t xml:space="preserve"> </w:t>
      </w:r>
      <w:r w:rsidRPr="001345D7">
        <w:t>abrumadora mayoría (92 %) de las emisiones divulgadas por las empresas europeas en 2022 fueron de alcance 3, con el uso de productos vendidos (57 %) y bienes y servicios adquiridos (17 %) citados como puntos críticos clave de las empresas. Hubo un aumento del 28% en las categorías de Alcance 3 divulgadas a CDP en 2022, en comparación con 2019.</w:t>
      </w:r>
    </w:p>
    <w:p w14:paraId="17E0A4F3" w14:textId="126A8282" w:rsidR="001345D7" w:rsidRDefault="001345D7" w:rsidP="001345D7">
      <w:pPr>
        <w:spacing w:after="0"/>
        <w:jc w:val="both"/>
      </w:pPr>
      <w:r w:rsidRPr="001345D7">
        <w:t>El número de empresas que establecen objetivos absolutos de reducción de emisiones aprobados por SBTi también va en aumento: se ha duplicado con creces desde 2019. Casi la mitad (47%) de las empresas informaron haberlos establecido en 2022, en comparación con solo el 14% en 2019. Sin embargo, los objetivos absolutos aprobados por SBTi cubren solo el 13% de las emisiones totales de gases de efecto invernadero divulgadas por las empresas a CDP en 2022. Esto refuerza la necesidad urgente de que las empresas con el mayor impacto en las emisiones establezcan objetivos de reducción sólidos alineados con las trayectorias de 1,5°C [2].</w:t>
      </w:r>
    </w:p>
    <w:p w14:paraId="2D8A70C5" w14:textId="398D98C1" w:rsidR="001345D7" w:rsidRDefault="001345D7" w:rsidP="001345D7">
      <w:pPr>
        <w:spacing w:after="0"/>
        <w:jc w:val="both"/>
      </w:pPr>
      <w:r w:rsidRPr="001345D7">
        <w:t>Los objetivos creíbles de cero emisiones netas aún están en pañales a pesar de la rápida aceptación, ya que solo el 8% de las empresas informaron haber establecido objetivos de cero emisiones netas aprobados por la iniciativa Science Based Targets (SBTi), y otro 14% con sus objetivos pendientes de validación. Aunque el número de empresas que revelan información a CDP ha crecido significativamente, el 23% de las empresas aún carecía de objetivos de reducción de emisiones en 2022.</w:t>
      </w:r>
    </w:p>
    <w:p w14:paraId="6716A821" w14:textId="6D3540D3" w:rsidR="001345D7" w:rsidRDefault="001345D7" w:rsidP="001345D7">
      <w:pPr>
        <w:spacing w:after="0"/>
        <w:jc w:val="both"/>
        <w:rPr>
          <w:i/>
          <w:iCs/>
        </w:rPr>
      </w:pPr>
      <w:r w:rsidRPr="001345D7">
        <w:rPr>
          <w:b/>
          <w:bCs/>
        </w:rPr>
        <w:lastRenderedPageBreak/>
        <w:t>Maxfield Weiss, director ejecutivo de CDP Europe, dijo:</w:t>
      </w:r>
      <w:r>
        <w:t xml:space="preserve"> </w:t>
      </w:r>
      <w:r w:rsidRPr="001345D7">
        <w:rPr>
          <w:i/>
          <w:iCs/>
        </w:rPr>
        <w:t>"Nuestro análisis revela que, aunque las empresas líderes han logrado algunos avances rápidos, particularmente en el establecimiento de objetivos basados en la ciencia, la mayoría necesita tomar medidas más decisivas para abordar sus emisiones de alcance 3 con bastante prontitud.</w:t>
      </w:r>
      <w:r>
        <w:t xml:space="preserve"> </w:t>
      </w:r>
      <w:r w:rsidRPr="001345D7">
        <w:rPr>
          <w:i/>
          <w:iCs/>
        </w:rPr>
        <w:t>Con la urgencia de alinear la descarbonización corporativa con el límite de 1,5 °C, las empresas deben establecer planes claros de transición climática ahora que brinden la reducción que necesitamos para mantener seguras nuestra economía y sociedad".</w:t>
      </w:r>
    </w:p>
    <w:p w14:paraId="1CA3B890" w14:textId="1AB631A2" w:rsidR="001345D7" w:rsidRDefault="001345D7" w:rsidP="001345D7">
      <w:pPr>
        <w:spacing w:after="0"/>
        <w:jc w:val="both"/>
        <w:rPr>
          <w:i/>
          <w:iCs/>
        </w:rPr>
      </w:pPr>
      <w:r w:rsidRPr="001345D7">
        <w:rPr>
          <w:b/>
          <w:bCs/>
        </w:rPr>
        <w:t>Roshan Gya, CEO de Capgemini Invent y miembro del Comité Ejecutivo del Grupo, dijo</w:t>
      </w:r>
      <w:r w:rsidRPr="001345D7">
        <w:t>:</w:t>
      </w:r>
      <w:r w:rsidR="00420837">
        <w:t xml:space="preserve"> </w:t>
      </w:r>
      <w:r w:rsidRPr="001345D7">
        <w:rPr>
          <w:i/>
          <w:iCs/>
        </w:rPr>
        <w:t>"A medida que las empresas buscan alcanzar sus objetivos de cero emisiones netas, es imperativo que establezcan objetivos a corto y largo plazo para monitorear sus viajes de descarbonización. Nuevas tecnologías como el hidrógeno bajo en carbono y la electrificación de procesos deberán implementarse a gran escala. Esto requiere un cambio en las políticas regulatorias y un enfoque innovador para permitir la doble transición hacia una economía sostenible y digital".</w:t>
      </w:r>
    </w:p>
    <w:p w14:paraId="55D7602F" w14:textId="314CF164" w:rsidR="001345D7" w:rsidRDefault="001345D7" w:rsidP="001345D7">
      <w:pPr>
        <w:spacing w:after="0"/>
        <w:jc w:val="both"/>
      </w:pPr>
      <w:r w:rsidRPr="001345D7">
        <w:t>El informe concluye que, en general, las empresas están progresando en la reducción del impacto ambiental de sus operaciones, con una reducción de hasta el 40% en las emisiones de alcance 1 y 2a través de medidas de eficiencia energética. Hoy en día, los sectores que dependen de la electricidad tienen más oportunidades que otros para descarbonizar su mix energético y protegerse de las fluctuaciones de los precios del mercado energético.</w:t>
      </w:r>
    </w:p>
    <w:p w14:paraId="2972F37C" w14:textId="7021B550" w:rsidR="001345D7" w:rsidRDefault="001345D7" w:rsidP="001345D7">
      <w:pPr>
        <w:spacing w:after="0"/>
        <w:jc w:val="both"/>
      </w:pPr>
      <w:r w:rsidRPr="001345D7">
        <w:t>En 2022, las energías renovables cubrieron menos de un tercio de la energía utilizada en la gran mayoría (70%) de los sectores analizados, lo que sugiere que aún quedan importantes reducciones de emisiones por venir mediante el abastecimiento de energías renovables.</w:t>
      </w:r>
    </w:p>
    <w:p w14:paraId="67E7C99E" w14:textId="53C3EC16" w:rsidR="001345D7" w:rsidRDefault="001345D7" w:rsidP="001345D7">
      <w:pPr>
        <w:spacing w:after="0"/>
        <w:jc w:val="both"/>
      </w:pPr>
      <w:r w:rsidRPr="001345D7">
        <w:t>Y los datos demuestran que esta acción sobre la sostenibilidad no perjudica la competitividad. A medida que las organizaciones adoptan cada vez más acciones de descarbonización como parte de las estrategias de sostenibilidad, la información divulgada al CDP revela que estas inversiones no impidieron la capacidad de aumentar la facturación. De 2019 a 2022, las emisiones de alcance 1 y 2 reportadas se redujeron en la mayoría de los sectores en un promedio del 14%, mientras que los ingresos aumentaron un 8%.</w:t>
      </w:r>
    </w:p>
    <w:p w14:paraId="2235DE03" w14:textId="6375C787" w:rsidR="001345D7" w:rsidRDefault="001345D7" w:rsidP="001345D7">
      <w:pPr>
        <w:spacing w:after="0"/>
        <w:jc w:val="both"/>
      </w:pPr>
      <w:r w:rsidRPr="001345D7">
        <w:t>El informe completo está disponible para su descarga</w:t>
      </w:r>
      <w:r>
        <w:t xml:space="preserve"> </w:t>
      </w:r>
      <w:hyperlink r:id="rId17" w:history="1">
        <w:r w:rsidRPr="001345D7">
          <w:rPr>
            <w:rStyle w:val="Hipervnculo"/>
          </w:rPr>
          <w:t>aquí</w:t>
        </w:r>
      </w:hyperlink>
      <w:r w:rsidRPr="001345D7">
        <w:t>.</w:t>
      </w:r>
    </w:p>
    <w:p w14:paraId="7C931797" w14:textId="77777777" w:rsidR="001345D7" w:rsidRDefault="001345D7" w:rsidP="001345D7">
      <w:pPr>
        <w:spacing w:after="0"/>
        <w:jc w:val="both"/>
        <w:rPr>
          <w:b/>
          <w:bCs/>
        </w:rPr>
      </w:pPr>
    </w:p>
    <w:p w14:paraId="5BDD0AC9" w14:textId="43D96DA4" w:rsidR="001345D7" w:rsidRDefault="001345D7" w:rsidP="001345D7">
      <w:pPr>
        <w:spacing w:after="0"/>
        <w:jc w:val="both"/>
        <w:rPr>
          <w:b/>
          <w:bCs/>
          <w:i/>
          <w:iCs/>
        </w:rPr>
      </w:pPr>
      <w:r w:rsidRPr="001345D7">
        <w:rPr>
          <w:b/>
          <w:bCs/>
        </w:rPr>
        <w:t>Para</w:t>
      </w:r>
      <w:r>
        <w:rPr>
          <w:b/>
          <w:bCs/>
        </w:rPr>
        <w:t xml:space="preserve"> </w:t>
      </w:r>
      <w:r w:rsidRPr="001345D7">
        <w:rPr>
          <w:b/>
          <w:bCs/>
          <w:i/>
          <w:iCs/>
        </w:rPr>
        <w:t>más información, o entrevistas, por favor contacte:</w:t>
      </w:r>
    </w:p>
    <w:p w14:paraId="729AB989" w14:textId="6B85D924" w:rsidR="001345D7" w:rsidRDefault="001345D7" w:rsidP="001345D7">
      <w:pPr>
        <w:jc w:val="both"/>
      </w:pPr>
      <w:r w:rsidRPr="001345D7">
        <w:t>Adam Szentes, CDP,</w:t>
      </w:r>
      <w:r>
        <w:t xml:space="preserve"> </w:t>
      </w:r>
      <w:hyperlink r:id="rId18" w:history="1">
        <w:r w:rsidRPr="001345D7">
          <w:rPr>
            <w:rStyle w:val="Hipervnculo"/>
          </w:rPr>
          <w:t>adam.szentes@cdp.net</w:t>
        </w:r>
      </w:hyperlink>
    </w:p>
    <w:p w14:paraId="08E822FB" w14:textId="77777777" w:rsidR="001345D7" w:rsidRPr="001345D7" w:rsidRDefault="001345D7" w:rsidP="001345D7">
      <w:pPr>
        <w:jc w:val="both"/>
      </w:pPr>
    </w:p>
    <w:p w14:paraId="42873025" w14:textId="77777777" w:rsidR="001345D7" w:rsidRDefault="001345D7" w:rsidP="001345D7">
      <w:pPr>
        <w:spacing w:after="0"/>
        <w:jc w:val="both"/>
        <w:rPr>
          <w:b/>
          <w:bCs/>
        </w:rPr>
      </w:pPr>
      <w:r w:rsidRPr="001345D7">
        <w:rPr>
          <w:b/>
          <w:bCs/>
        </w:rPr>
        <w:t>Metodología</w:t>
      </w:r>
    </w:p>
    <w:p w14:paraId="1C61B55A" w14:textId="574EE5FD" w:rsidR="001345D7" w:rsidRDefault="001345D7" w:rsidP="001345D7">
      <w:pPr>
        <w:jc w:val="both"/>
      </w:pPr>
      <w:r w:rsidRPr="001345D7">
        <w:t>El informe aprovecha el conocimiento y la experiencia comprobada de Capgemini Invent en descarbonización, las perspectivas de la herramienta Capgemini Low Carbon Navigator (una biblioteca patentada de puntos de referencia de descarbonización y palancas específicas de la industria), el análisis cuantitativo de los conjuntos de datos públicos de CDP de 2019 y 2022, y los resultados cualitativos de entrevistas con 7 empresas seleccionadas de diversos sectores. El informe incluye empresas que representan aproximadamente el 75-80% de la capitalización bursátil total de las empresas europeas.</w:t>
      </w:r>
    </w:p>
    <w:p w14:paraId="53C98FA6" w14:textId="503F51ED" w:rsidR="001345D7" w:rsidRDefault="001345D7" w:rsidP="001345D7">
      <w:pPr>
        <w:jc w:val="both"/>
      </w:pPr>
      <w:r w:rsidRPr="001345D7">
        <w:t>Capgemini Invent es un proveedor de servicios acreditado Gold por el CDP por su experiencia en consultoría de cambio climático. El informe se redacta en el contexto de esta asociación, que concede acceso exclusivo a los datos a un número limitado de empresas.</w:t>
      </w:r>
    </w:p>
    <w:p w14:paraId="79F18676" w14:textId="77777777" w:rsidR="001345D7" w:rsidRDefault="001345D7" w:rsidP="001345D7">
      <w:pPr>
        <w:spacing w:after="0"/>
        <w:jc w:val="both"/>
        <w:rPr>
          <w:b/>
          <w:bCs/>
        </w:rPr>
      </w:pPr>
      <w:r w:rsidRPr="001345D7">
        <w:rPr>
          <w:b/>
          <w:bCs/>
        </w:rPr>
        <w:lastRenderedPageBreak/>
        <w:t>Acerca de CDP</w:t>
      </w:r>
    </w:p>
    <w:p w14:paraId="53FAC59C" w14:textId="762869BB" w:rsidR="001345D7" w:rsidRDefault="001345D7" w:rsidP="001345D7">
      <w:pPr>
        <w:jc w:val="both"/>
      </w:pPr>
      <w:r w:rsidRPr="001345D7">
        <w:rPr>
          <w:b/>
          <w:bCs/>
        </w:rPr>
        <w:t>CDP</w:t>
      </w:r>
      <w:r>
        <w:rPr>
          <w:b/>
          <w:bCs/>
        </w:rPr>
        <w:t xml:space="preserve"> </w:t>
      </w:r>
      <w:r w:rsidRPr="001345D7">
        <w:t>es una organización global sin fines de lucro que administra el sistema de divulgación ambiental del mundo para empresas, ciudades, estados y regiones. Fundada en el año 2000 y trabajando con más de 740 instituciones financieras con más de 130 billones de dólares en activos, CDP fue pionera en el uso de los mercados de capitales y las adquisiciones corporativas para motivar a las empresas a divulgar sus impactos ambientales y reducir las emisiones de gases de efecto invernadero, salvaguardar los recursos hídricos y proteger los bosques.</w:t>
      </w:r>
    </w:p>
    <w:p w14:paraId="70CAEBDD" w14:textId="5B0DC950" w:rsidR="001345D7" w:rsidRDefault="001345D7" w:rsidP="001345D7">
      <w:pPr>
        <w:jc w:val="both"/>
      </w:pPr>
      <w:r w:rsidRPr="001345D7">
        <w:t>Casi 20.000 organizaciones de todo el mundo divulgaron datos a través de CDP en 2022, incluidas más de 18.700 empresas con la mitad de la capitalización bursátil mundial y más de 1.100 ciudades, estados y regiones. Totalmente alineada con el TCFD, CDP posee la base de datos medioambiental más grande del mundo, y las puntuaciones de CDP se utilizan ampliamente para impulsar las decisiones de inversión y adquisición hacia una economía con cero emisiones de carbono, sostenible y resiliente. CDP es miembro fundador de la iniciativa Science Based Targets, We Mean Business Coalition, The Investor Agenda y la iniciativa Net Zero Asset Managers. Obtenga más información a través</w:t>
      </w:r>
      <w:r>
        <w:t xml:space="preserve"> </w:t>
      </w:r>
      <w:hyperlink r:id="rId19" w:history="1">
        <w:r w:rsidRPr="001345D7">
          <w:rPr>
            <w:rStyle w:val="Hipervnculo"/>
          </w:rPr>
          <w:t>de www.cdp.net</w:t>
        </w:r>
      </w:hyperlink>
      <w:r>
        <w:t xml:space="preserve"> </w:t>
      </w:r>
      <w:r w:rsidRPr="001345D7">
        <w:t>o síganos en Twitter @CDP.</w:t>
      </w:r>
    </w:p>
    <w:p w14:paraId="2DF72829" w14:textId="77777777" w:rsidR="001345D7" w:rsidRDefault="001345D7" w:rsidP="001345D7">
      <w:pPr>
        <w:spacing w:after="0"/>
        <w:jc w:val="both"/>
        <w:rPr>
          <w:b/>
          <w:bCs/>
        </w:rPr>
      </w:pPr>
      <w:r w:rsidRPr="001345D7">
        <w:rPr>
          <w:b/>
          <w:bCs/>
        </w:rPr>
        <w:t>Acerca de Capgemini Invent</w:t>
      </w:r>
    </w:p>
    <w:p w14:paraId="633B878F" w14:textId="77777777" w:rsidR="001345D7" w:rsidRDefault="001345D7" w:rsidP="001345D7">
      <w:pPr>
        <w:jc w:val="both"/>
      </w:pPr>
      <w:r w:rsidRPr="001345D7">
        <w:t>Como marca de innovación digital, diseño y transformación del Grupo Capgemini, Capgemini Invent permite a los CxO imaginar y dar forma al futuro de sus negocios. Ubicada en casi 40 estudios y más de 60 oficinas en todo el mundo, está compuesta por un equipo de 10,000+ estrategas, científicos de datos, diseñadores de productos y experiencias, expertos en marcas y tecnólogos que desarrollan nuevos servicios digitales, productos, experiencias y modelos de negocio para un crecimiento sostenible.</w:t>
      </w:r>
    </w:p>
    <w:p w14:paraId="3E84B5F4" w14:textId="22A50027" w:rsidR="001345D7" w:rsidRDefault="001345D7" w:rsidP="001345D7">
      <w:pPr>
        <w:jc w:val="both"/>
      </w:pPr>
      <w:r w:rsidRPr="001345D7">
        <w:t>Capgemini Invent es una parte integral de Capgemini, líder mundial en asociarse con empresas para transformar y gestionar su negocio aprovechando el poder de la tecnología. El Grupo se guía cada día por su propósito de liberar la energía humana a través de la tecnología para un futuro inclusivo y sostenible. Es una organización responsable y diversa de casi 360.000 miembros del equipo en más de 50 países. Con su sólida herencia de 55 años y su profunda experiencia en la industria, Capgemini cuenta con la confianza de sus clientes para abordar toda la amplitud de sus necesidades de negocio, desde la estrategia y el diseño hasta las operaciones, impulsadas por el mundo innovador y en rápida evolución de la nube, los datos, la IA, la conectividad, el software, la ingeniería digital y las plataformas. El Grupo registró en 2022 unos ingresos globales de 22.000 millones de euros.</w:t>
      </w:r>
    </w:p>
    <w:p w14:paraId="34CCA692" w14:textId="335ED369" w:rsidR="001345D7" w:rsidRPr="001345D7" w:rsidRDefault="001345D7" w:rsidP="001345D7">
      <w:pPr>
        <w:jc w:val="both"/>
      </w:pPr>
      <w:r w:rsidRPr="001345D7">
        <w:t>Consigue el futuro que quieres</w:t>
      </w:r>
      <w:r>
        <w:t xml:space="preserve"> </w:t>
      </w:r>
      <w:r w:rsidRPr="001345D7">
        <w:t>visítanos en</w:t>
      </w:r>
      <w:r>
        <w:t xml:space="preserve"> </w:t>
      </w:r>
      <w:hyperlink r:id="rId20" w:tgtFrame="_blank" w:tooltip="http://www.capgemini.com/invent" w:history="1">
        <w:r w:rsidRPr="001345D7">
          <w:rPr>
            <w:rStyle w:val="Hipervnculo"/>
          </w:rPr>
          <w:t>www.capgemini.com/invent</w:t>
        </w:r>
      </w:hyperlink>
    </w:p>
    <w:p w14:paraId="25440DB0" w14:textId="77777777" w:rsidR="001345D7" w:rsidRDefault="001345D7" w:rsidP="001345D7">
      <w:pPr>
        <w:jc w:val="both"/>
      </w:pPr>
      <w:r w:rsidRPr="001345D7">
        <w:t>[1] Las emisiones de alcance 1 se relacionan con las emisiones directas de edificios o activos que son propiedad o están controlados por una empresa, como las emisiones asociadas con el consumo de combustible y los gases refrigerantes. Las emisiones de alcance 2 se refieren a las emisiones asociadas con el consumo de electricidad, calor o vapor. El alcance 3 son todas las demás emisiones generadas dentro de la cadena de valor de una organización, incluidas las emisiones ascendentes y descendentes. Ocurren como resultado de las actividades de una entidad, pero de fuentes que no son propiedad ni están controladas por el negocio de esa entidad.</w:t>
      </w:r>
    </w:p>
    <w:p w14:paraId="2A1EF4CD" w14:textId="7927A4AB" w:rsidR="001345D7" w:rsidRPr="001345D7" w:rsidRDefault="001345D7" w:rsidP="001345D7">
      <w:pPr>
        <w:jc w:val="both"/>
      </w:pPr>
      <w:r w:rsidRPr="001345D7">
        <w:lastRenderedPageBreak/>
        <w:t>[2] Según el último informe del IPCC, es necesaria una disminución del 45% de las emisiones para 2030 en comparación con los niveles de 2010 para mantener el calentamiento global por debajo de 1,5 °C // Informe de síntesis del IPCC (marzo de 2023) AR6</w:t>
      </w:r>
    </w:p>
    <w:p w14:paraId="2268B2ED" w14:textId="00066431" w:rsidR="001345D7" w:rsidRDefault="001345D7" w:rsidP="00CA0372">
      <w:pPr>
        <w:jc w:val="both"/>
      </w:pPr>
      <w:r w:rsidRPr="001345D7">
        <w:rPr>
          <w:noProof/>
        </w:rPr>
        <w:drawing>
          <wp:inline distT="0" distB="0" distL="0" distR="0" wp14:anchorId="2855E5EC" wp14:editId="30C13B22">
            <wp:extent cx="5612130" cy="192976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1929765"/>
                    </a:xfrm>
                    <a:prstGeom prst="rect">
                      <a:avLst/>
                    </a:prstGeom>
                  </pic:spPr>
                </pic:pic>
              </a:graphicData>
            </a:graphic>
          </wp:inline>
        </w:drawing>
      </w:r>
    </w:p>
    <w:p w14:paraId="103E614E" w14:textId="77777777" w:rsidR="001345D7" w:rsidRDefault="001345D7" w:rsidP="00CA0372">
      <w:pPr>
        <w:jc w:val="both"/>
      </w:pPr>
    </w:p>
    <w:sectPr w:rsidR="001345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2998"/>
    <w:multiLevelType w:val="multilevel"/>
    <w:tmpl w:val="CE1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C80DEB"/>
    <w:multiLevelType w:val="multilevel"/>
    <w:tmpl w:val="6A9A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72"/>
    <w:rsid w:val="001345D7"/>
    <w:rsid w:val="00280D25"/>
    <w:rsid w:val="002C0867"/>
    <w:rsid w:val="00420837"/>
    <w:rsid w:val="00571DB8"/>
    <w:rsid w:val="00CA0372"/>
    <w:rsid w:val="00EB7D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050"/>
  <w15:chartTrackingRefBased/>
  <w15:docId w15:val="{584633EA-B944-4126-828D-AEE9D8A6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0372"/>
    <w:rPr>
      <w:color w:val="0563C1" w:themeColor="hyperlink"/>
      <w:u w:val="single"/>
    </w:rPr>
  </w:style>
  <w:style w:type="character" w:styleId="Mencinsinresolver">
    <w:name w:val="Unresolved Mention"/>
    <w:basedOn w:val="Fuentedeprrafopredeter"/>
    <w:uiPriority w:val="99"/>
    <w:semiHidden/>
    <w:unhideWhenUsed/>
    <w:rsid w:val="00CA0372"/>
    <w:rPr>
      <w:color w:val="605E5C"/>
      <w:shd w:val="clear" w:color="auto" w:fill="E1DFDD"/>
    </w:rPr>
  </w:style>
  <w:style w:type="character" w:styleId="Hipervnculovisitado">
    <w:name w:val="FollowedHyperlink"/>
    <w:basedOn w:val="Fuentedeprrafopredeter"/>
    <w:uiPriority w:val="99"/>
    <w:semiHidden/>
    <w:unhideWhenUsed/>
    <w:rsid w:val="00134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162206">
      <w:bodyDiv w:val="1"/>
      <w:marLeft w:val="0"/>
      <w:marRight w:val="0"/>
      <w:marTop w:val="0"/>
      <w:marBottom w:val="0"/>
      <w:divBdr>
        <w:top w:val="none" w:sz="0" w:space="0" w:color="auto"/>
        <w:left w:val="none" w:sz="0" w:space="0" w:color="auto"/>
        <w:bottom w:val="none" w:sz="0" w:space="0" w:color="auto"/>
        <w:right w:val="none" w:sz="0" w:space="0" w:color="auto"/>
      </w:divBdr>
      <w:divsChild>
        <w:div w:id="1223322671">
          <w:marLeft w:val="0"/>
          <w:marRight w:val="0"/>
          <w:marTop w:val="150"/>
          <w:marBottom w:val="0"/>
          <w:divBdr>
            <w:top w:val="none" w:sz="0" w:space="0" w:color="auto"/>
            <w:left w:val="none" w:sz="0" w:space="0" w:color="auto"/>
            <w:bottom w:val="none" w:sz="0" w:space="0" w:color="auto"/>
            <w:right w:val="none" w:sz="0" w:space="0" w:color="auto"/>
          </w:divBdr>
          <w:divsChild>
            <w:div w:id="418841605">
              <w:marLeft w:val="-1050"/>
              <w:marRight w:val="0"/>
              <w:marTop w:val="0"/>
              <w:marBottom w:val="0"/>
              <w:divBdr>
                <w:top w:val="none" w:sz="0" w:space="0" w:color="auto"/>
                <w:left w:val="none" w:sz="0" w:space="0" w:color="auto"/>
                <w:bottom w:val="none" w:sz="0" w:space="0" w:color="auto"/>
                <w:right w:val="none" w:sz="0" w:space="0" w:color="auto"/>
              </w:divBdr>
              <w:divsChild>
                <w:div w:id="832456277">
                  <w:marLeft w:val="0"/>
                  <w:marRight w:val="300"/>
                  <w:marTop w:val="0"/>
                  <w:marBottom w:val="0"/>
                  <w:divBdr>
                    <w:top w:val="none" w:sz="0" w:space="0" w:color="auto"/>
                    <w:left w:val="none" w:sz="0" w:space="0" w:color="auto"/>
                    <w:bottom w:val="none" w:sz="0" w:space="0" w:color="auto"/>
                    <w:right w:val="none" w:sz="0" w:space="0" w:color="auto"/>
                  </w:divBdr>
                </w:div>
                <w:div w:id="167408412">
                  <w:marLeft w:val="1050"/>
                  <w:marRight w:val="0"/>
                  <w:marTop w:val="0"/>
                  <w:marBottom w:val="0"/>
                  <w:divBdr>
                    <w:top w:val="none" w:sz="0" w:space="0" w:color="auto"/>
                    <w:left w:val="none" w:sz="0" w:space="0" w:color="auto"/>
                    <w:bottom w:val="none" w:sz="0" w:space="0" w:color="auto"/>
                    <w:right w:val="none" w:sz="0" w:space="0" w:color="auto"/>
                  </w:divBdr>
                  <w:divsChild>
                    <w:div w:id="1642421782">
                      <w:marLeft w:val="0"/>
                      <w:marRight w:val="0"/>
                      <w:marTop w:val="75"/>
                      <w:marBottom w:val="0"/>
                      <w:divBdr>
                        <w:top w:val="none" w:sz="0" w:space="0" w:color="auto"/>
                        <w:left w:val="none" w:sz="0" w:space="0" w:color="auto"/>
                        <w:bottom w:val="none" w:sz="0" w:space="0" w:color="auto"/>
                        <w:right w:val="none" w:sz="0" w:space="0" w:color="auto"/>
                      </w:divBdr>
                      <w:divsChild>
                        <w:div w:id="1287466293">
                          <w:marLeft w:val="0"/>
                          <w:marRight w:val="0"/>
                          <w:marTop w:val="0"/>
                          <w:marBottom w:val="75"/>
                          <w:divBdr>
                            <w:top w:val="none" w:sz="0" w:space="0" w:color="auto"/>
                            <w:left w:val="none" w:sz="0" w:space="0" w:color="auto"/>
                            <w:bottom w:val="single" w:sz="6" w:space="4" w:color="DDDDDD"/>
                            <w:right w:val="none" w:sz="0" w:space="0" w:color="auto"/>
                          </w:divBdr>
                          <w:divsChild>
                            <w:div w:id="948589913">
                              <w:marLeft w:val="0"/>
                              <w:marRight w:val="0"/>
                              <w:marTop w:val="0"/>
                              <w:marBottom w:val="0"/>
                              <w:divBdr>
                                <w:top w:val="none" w:sz="0" w:space="0" w:color="auto"/>
                                <w:left w:val="none" w:sz="0" w:space="0" w:color="auto"/>
                                <w:bottom w:val="none" w:sz="0" w:space="0" w:color="auto"/>
                                <w:right w:val="none" w:sz="0" w:space="0" w:color="auto"/>
                              </w:divBdr>
                            </w:div>
                          </w:divsChild>
                        </w:div>
                        <w:div w:id="15091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07953">
          <w:marLeft w:val="0"/>
          <w:marRight w:val="0"/>
          <w:marTop w:val="0"/>
          <w:marBottom w:val="0"/>
          <w:divBdr>
            <w:top w:val="none" w:sz="0" w:space="0" w:color="auto"/>
            <w:left w:val="none" w:sz="0" w:space="0" w:color="auto"/>
            <w:bottom w:val="none" w:sz="0" w:space="0" w:color="auto"/>
            <w:right w:val="none" w:sz="0" w:space="0" w:color="auto"/>
          </w:divBdr>
          <w:divsChild>
            <w:div w:id="1369642238">
              <w:marLeft w:val="0"/>
              <w:marRight w:val="0"/>
              <w:marTop w:val="0"/>
              <w:marBottom w:val="0"/>
              <w:divBdr>
                <w:top w:val="none" w:sz="0" w:space="0" w:color="auto"/>
                <w:left w:val="none" w:sz="0" w:space="0" w:color="auto"/>
                <w:bottom w:val="none" w:sz="0" w:space="0" w:color="auto"/>
                <w:right w:val="none" w:sz="0" w:space="0" w:color="auto"/>
              </w:divBdr>
              <w:divsChild>
                <w:div w:id="502546225">
                  <w:marLeft w:val="0"/>
                  <w:marRight w:val="0"/>
                  <w:marTop w:val="0"/>
                  <w:marBottom w:val="0"/>
                  <w:divBdr>
                    <w:top w:val="none" w:sz="0" w:space="0" w:color="auto"/>
                    <w:left w:val="none" w:sz="0" w:space="0" w:color="auto"/>
                    <w:bottom w:val="none" w:sz="0" w:space="0" w:color="auto"/>
                    <w:right w:val="none" w:sz="0" w:space="0" w:color="auto"/>
                  </w:divBdr>
                  <w:divsChild>
                    <w:div w:id="1994092879">
                      <w:marLeft w:val="0"/>
                      <w:marRight w:val="0"/>
                      <w:marTop w:val="0"/>
                      <w:marBottom w:val="0"/>
                      <w:divBdr>
                        <w:top w:val="none" w:sz="0" w:space="0" w:color="auto"/>
                        <w:left w:val="none" w:sz="0" w:space="0" w:color="auto"/>
                        <w:bottom w:val="none" w:sz="0" w:space="0" w:color="auto"/>
                        <w:right w:val="none" w:sz="0" w:space="0" w:color="auto"/>
                      </w:divBdr>
                      <w:divsChild>
                        <w:div w:id="1504273473">
                          <w:marLeft w:val="0"/>
                          <w:marRight w:val="0"/>
                          <w:marTop w:val="375"/>
                          <w:marBottom w:val="375"/>
                          <w:divBdr>
                            <w:top w:val="none" w:sz="0" w:space="0" w:color="auto"/>
                            <w:left w:val="none" w:sz="0" w:space="0" w:color="auto"/>
                            <w:bottom w:val="none" w:sz="0" w:space="0" w:color="auto"/>
                            <w:right w:val="none" w:sz="0" w:space="0" w:color="auto"/>
                          </w:divBdr>
                          <w:divsChild>
                            <w:div w:id="633953272">
                              <w:marLeft w:val="0"/>
                              <w:marRight w:val="0"/>
                              <w:marTop w:val="0"/>
                              <w:marBottom w:val="0"/>
                              <w:divBdr>
                                <w:top w:val="none" w:sz="0" w:space="0" w:color="auto"/>
                                <w:left w:val="none" w:sz="0" w:space="0" w:color="auto"/>
                                <w:bottom w:val="none" w:sz="0" w:space="0" w:color="auto"/>
                                <w:right w:val="none" w:sz="0" w:space="0" w:color="auto"/>
                              </w:divBdr>
                            </w:div>
                          </w:divsChild>
                        </w:div>
                        <w:div w:id="8499520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015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ginvestor.net/tag/ai/" TargetMode="External"/><Relationship Id="rId13" Type="http://schemas.openxmlformats.org/officeDocument/2006/relationships/image" Target="media/image2.png"/><Relationship Id="rId18" Type="http://schemas.openxmlformats.org/officeDocument/2006/relationships/hyperlink" Target="mailto:adam.szentes@cdp.net"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cdp.net/en/articles/companies/only-37-of-scope-3-emissions-from-european-businesses-are-addressed-by-corporate-decarbonization-measures" TargetMode="External"/><Relationship Id="rId12" Type="http://schemas.openxmlformats.org/officeDocument/2006/relationships/hyperlink" Target="https://www.esginvestor.net/tag/technology/" TargetMode="External"/><Relationship Id="rId17" Type="http://schemas.openxmlformats.org/officeDocument/2006/relationships/hyperlink" Target="https://cdn.cdp.net/cdp-production/cms/reports/documents/000/007/198/original/CDP_Capgemini_report_July_13_From_Stroll_to_Sprint_-_A_race_against_time_for_corporate_decarbonization.pdf?1689231333" TargetMode="External"/><Relationship Id="rId2" Type="http://schemas.openxmlformats.org/officeDocument/2006/relationships/styles" Target="styles.xml"/><Relationship Id="rId16" Type="http://schemas.openxmlformats.org/officeDocument/2006/relationships/hyperlink" Target="https://cdn.cdp.net/cdp-production/cms/reports/documents/000/007/198/original/CDP_Capgemini_report_July_13_From_Stroll_to_Sprint_-_A_race_against_time_for_corporate_decarbonization.pdf?1689231333" TargetMode="External"/><Relationship Id="rId20" Type="http://schemas.openxmlformats.org/officeDocument/2006/relationships/hyperlink" Target="http://www.capgemini.com/invent" TargetMode="External"/><Relationship Id="rId1" Type="http://schemas.openxmlformats.org/officeDocument/2006/relationships/numbering" Target="numbering.xml"/><Relationship Id="rId6" Type="http://schemas.openxmlformats.org/officeDocument/2006/relationships/hyperlink" Target="https://www.esginvestor.net/author/alan-riley/" TargetMode="External"/><Relationship Id="rId11" Type="http://schemas.openxmlformats.org/officeDocument/2006/relationships/hyperlink" Target="https://www.esginvestor.net/tag/net-zero-2050/" TargetMode="External"/><Relationship Id="rId5" Type="http://schemas.openxmlformats.org/officeDocument/2006/relationships/image" Target="media/image1.png"/><Relationship Id="rId15" Type="http://schemas.openxmlformats.org/officeDocument/2006/relationships/hyperlink" Target="https://www.cdp.net/en" TargetMode="External"/><Relationship Id="rId23" Type="http://schemas.openxmlformats.org/officeDocument/2006/relationships/theme" Target="theme/theme1.xml"/><Relationship Id="rId10" Type="http://schemas.openxmlformats.org/officeDocument/2006/relationships/hyperlink" Target="https://www.esginvestor.net/tag/emission-reduction/" TargetMode="External"/><Relationship Id="rId19" Type="http://schemas.openxmlformats.org/officeDocument/2006/relationships/hyperlink" Target="https://www.cdp.net/en" TargetMode="External"/><Relationship Id="rId4" Type="http://schemas.openxmlformats.org/officeDocument/2006/relationships/webSettings" Target="webSettings.xml"/><Relationship Id="rId9" Type="http://schemas.openxmlformats.org/officeDocument/2006/relationships/hyperlink" Target="https://www.esginvestor.net/tag/carbon-emissions/" TargetMode="External"/><Relationship Id="rId14" Type="http://schemas.openxmlformats.org/officeDocument/2006/relationships/hyperlink" Target="https://www.capgemini.com/about-us/who-we-are/our-brands/capgemini-invent/"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2734</Words>
  <Characters>15043</Characters>
  <Application>Microsoft Office Word</Application>
  <DocSecurity>0</DocSecurity>
  <Lines>125</Lines>
  <Paragraphs>35</Paragraphs>
  <ScaleCrop>false</ScaleCrop>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2024-07-23T17:01:00Z</dcterms:created>
  <dcterms:modified xsi:type="dcterms:W3CDTF">2024-08-26T01:19:00Z</dcterms:modified>
</cp:coreProperties>
</file>