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83B4" w14:textId="77777777" w:rsidR="00BE311E" w:rsidRPr="00BE311E" w:rsidRDefault="00BE311E" w:rsidP="00BE311E">
      <w:pPr>
        <w:jc w:val="both"/>
        <w:rPr>
          <w:rFonts w:ascii="Arial Nova Cond" w:hAnsi="Arial Nova Cond"/>
          <w:sz w:val="28"/>
          <w:szCs w:val="28"/>
        </w:rPr>
      </w:pPr>
      <w:r w:rsidRPr="00BE311E">
        <w:rPr>
          <w:rFonts w:ascii="Arial Nova Cond" w:hAnsi="Arial Nova Cond"/>
          <w:sz w:val="28"/>
          <w:szCs w:val="28"/>
        </w:rPr>
        <w:t>EFRAG lanza un nuevo sitio web con fácil acceso a las taxonomías</w:t>
      </w:r>
    </w:p>
    <w:p w14:paraId="42655220" w14:textId="331EBA1D" w:rsidR="00BE311E" w:rsidRPr="00BE311E" w:rsidRDefault="00BE311E" w:rsidP="00BE311E">
      <w:pPr>
        <w:jc w:val="both"/>
      </w:pPr>
      <w:r w:rsidRPr="00BE311E">
        <w:rPr>
          <w:noProof/>
        </w:rPr>
        <w:drawing>
          <wp:inline distT="0" distB="0" distL="0" distR="0" wp14:anchorId="199E487C" wp14:editId="59F55084">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7E8FFA32" w14:textId="77777777" w:rsidR="00D750B6" w:rsidRPr="00BE311E" w:rsidRDefault="00D750B6" w:rsidP="00D750B6">
      <w:pPr>
        <w:jc w:val="both"/>
      </w:pPr>
      <w:r w:rsidRPr="00BE311E">
        <w:t>Publicado el 26 de julio de 2024 por</w:t>
      </w:r>
      <w:r>
        <w:t xml:space="preserve"> </w:t>
      </w:r>
      <w:hyperlink r:id="rId6" w:history="1">
        <w:r w:rsidRPr="00BE311E">
          <w:rPr>
            <w:rStyle w:val="Hipervnculo"/>
            <w:b/>
            <w:bCs/>
          </w:rPr>
          <w:t>Editor</w:t>
        </w:r>
      </w:hyperlink>
    </w:p>
    <w:p w14:paraId="440C748F" w14:textId="77777777" w:rsidR="00BE311E" w:rsidRPr="00BE311E" w:rsidRDefault="00BE311E" w:rsidP="00BE311E">
      <w:pPr>
        <w:jc w:val="both"/>
      </w:pPr>
      <w:r w:rsidRPr="00BE311E">
        <w:t>El EFRAG ha lanzado un sitio web de nuevo diseño a partir del 24 de julio, que mejora la experiencia del usuario y la accesibilidad. Esta plataforma ofrece ahora una navegación optimizada, lo que facilita a las partes interesadas el acceso a recursos y actualizaciones esenciales.</w:t>
      </w:r>
    </w:p>
    <w:p w14:paraId="2CE0711C" w14:textId="77777777" w:rsidR="00BE311E" w:rsidRPr="00BE311E" w:rsidRDefault="00BE311E" w:rsidP="00BE311E">
      <w:pPr>
        <w:jc w:val="both"/>
      </w:pPr>
      <w:r w:rsidRPr="00BE311E">
        <w:t>Una de las características clave del nuevo sitio es la facilidad para encontrar taxonomías de informes financieros y de sostenibilidad. El diseño renovado garantiza que estos recursos críticos estén a solo unos clics de distancia, lo que respalda la misión de EFRAG de promover las prácticas de informes corporativos en toda Europa.</w:t>
      </w:r>
    </w:p>
    <w:p w14:paraId="39600CE0" w14:textId="680B2B55" w:rsidR="00BE311E" w:rsidRPr="00BE311E" w:rsidRDefault="00AD6D49" w:rsidP="00BE311E">
      <w:pPr>
        <w:jc w:val="both"/>
      </w:pPr>
      <w:hyperlink r:id="rId7" w:tgtFrame="_blank" w:history="1">
        <w:r w:rsidR="00BE311E" w:rsidRPr="00BE311E">
          <w:rPr>
            <w:rStyle w:val="Hipervnculo"/>
          </w:rPr>
          <w:t>¡Visite el nuevo sitio web</w:t>
        </w:r>
      </w:hyperlink>
      <w:r w:rsidR="00D750B6">
        <w:t xml:space="preserve"> </w:t>
      </w:r>
      <w:r w:rsidR="00BE311E" w:rsidRPr="00BE311E">
        <w:t>de EFRAG</w:t>
      </w:r>
      <w:r w:rsidR="00D750B6">
        <w:t xml:space="preserve"> </w:t>
      </w:r>
      <w:r w:rsidR="00BE311E" w:rsidRPr="00BE311E">
        <w:t>para explorar las taxonomías y mantenerse actualizado sobre sus iniciativas!</w:t>
      </w:r>
    </w:p>
    <w:p w14:paraId="34DAAEB7" w14:textId="7B3B4F7D" w:rsidR="00BE311E" w:rsidRPr="00BE311E" w:rsidRDefault="00AD6D49" w:rsidP="00BE311E">
      <w:pPr>
        <w:jc w:val="both"/>
      </w:pPr>
      <w:hyperlink r:id="rId8" w:history="1">
        <w:r w:rsidR="00BE311E" w:rsidRPr="00BE311E">
          <w:rPr>
            <w:rStyle w:val="Hipervnculo"/>
          </w:rPr>
          <w:t>Taxonomías</w:t>
        </w:r>
        <w:r w:rsidR="00D750B6">
          <w:rPr>
            <w:rStyle w:val="Hipervnculo"/>
          </w:rPr>
          <w:t xml:space="preserve"> </w:t>
        </w:r>
      </w:hyperlink>
      <w:hyperlink r:id="rId9" w:history="1">
        <w:r w:rsidR="00BE311E" w:rsidRPr="00BE311E">
          <w:rPr>
            <w:rStyle w:val="Hipervnculo"/>
          </w:rPr>
          <w:t>ESG de</w:t>
        </w:r>
        <w:r w:rsidR="00D750B6">
          <w:rPr>
            <w:rStyle w:val="Hipervnculo"/>
          </w:rPr>
          <w:t xml:space="preserve"> </w:t>
        </w:r>
      </w:hyperlink>
      <w:hyperlink r:id="rId10" w:history="1">
        <w:r w:rsidR="00BE311E" w:rsidRPr="00BE311E">
          <w:rPr>
            <w:rStyle w:val="Hipervnculo"/>
          </w:rPr>
          <w:t>EFRAG</w:t>
        </w:r>
      </w:hyperlink>
    </w:p>
    <w:p w14:paraId="446D64F1" w14:textId="53FB6B74" w:rsidR="00BE311E" w:rsidRPr="00BE311E" w:rsidRDefault="00BE311E" w:rsidP="00BE311E">
      <w:pPr>
        <w:jc w:val="both"/>
      </w:pPr>
    </w:p>
    <w:p w14:paraId="0D81ADB8" w14:textId="7279FAA9" w:rsidR="009D7D97" w:rsidRDefault="009D7D97" w:rsidP="00BE311E">
      <w:pPr>
        <w:jc w:val="both"/>
      </w:pPr>
    </w:p>
    <w:p w14:paraId="4C9213B0" w14:textId="4D9B61E8" w:rsidR="00BE311E" w:rsidRDefault="00BE311E" w:rsidP="00BE311E">
      <w:pPr>
        <w:jc w:val="both"/>
      </w:pPr>
    </w:p>
    <w:p w14:paraId="5D07DBF1" w14:textId="77777777" w:rsidR="00AD6D49" w:rsidRDefault="00AD6D49" w:rsidP="00BE311E">
      <w:pPr>
        <w:jc w:val="both"/>
      </w:pPr>
    </w:p>
    <w:p w14:paraId="70C02B22" w14:textId="17439F21" w:rsidR="00BE311E" w:rsidRDefault="00BE311E" w:rsidP="00BE311E">
      <w:pPr>
        <w:jc w:val="both"/>
      </w:pPr>
    </w:p>
    <w:p w14:paraId="74836A2C" w14:textId="77777777" w:rsidR="00BE311E" w:rsidRPr="00BE311E" w:rsidRDefault="00BE311E" w:rsidP="00BE311E">
      <w:pPr>
        <w:jc w:val="both"/>
        <w:rPr>
          <w:sz w:val="32"/>
          <w:szCs w:val="32"/>
        </w:rPr>
      </w:pPr>
      <w:r w:rsidRPr="00BE311E">
        <w:rPr>
          <w:sz w:val="32"/>
          <w:szCs w:val="32"/>
        </w:rPr>
        <w:lastRenderedPageBreak/>
        <w:t>EFRAG lanza un nuevo sitio web</w:t>
      </w:r>
    </w:p>
    <w:p w14:paraId="6D699541" w14:textId="418BAA49" w:rsidR="00BE311E" w:rsidRPr="00BE311E" w:rsidRDefault="00BE311E" w:rsidP="00BE311E">
      <w:pPr>
        <w:jc w:val="both"/>
      </w:pPr>
      <w:r w:rsidRPr="00BE311E">
        <w:t>24.07.2024</w:t>
      </w:r>
    </w:p>
    <w:p w14:paraId="068FD7A0" w14:textId="47A65689" w:rsidR="00BE311E" w:rsidRPr="00BE311E" w:rsidRDefault="00BE311E" w:rsidP="00BE311E">
      <w:pPr>
        <w:jc w:val="both"/>
      </w:pPr>
      <w:r w:rsidRPr="00BE311E">
        <w:t>Nos complace anunciar el lanzamiento del nuevo sitio web de EFRAG, una plataforma dinámica dedicada a mejorar nuestras actividades en ambos pilares: Informes financieros de EFRAG e Informes de sostenibilidad de EFRAG. Este nuevo sitio web no solo sirve como portal para nuestras últimas actualizaciones, recursos e iniciativas, sino que también refleja nuestra misión de desarrollar y promover puntos de vista europeos en el campo de los informes corporativos y nuestro compromiso con la sostenibilidad, ya que se basa en energía renovable.</w:t>
      </w:r>
    </w:p>
    <w:p w14:paraId="574FD616" w14:textId="62739C88" w:rsidR="00BE311E" w:rsidRPr="00BE311E" w:rsidRDefault="00BE311E" w:rsidP="00BE311E">
      <w:pPr>
        <w:jc w:val="both"/>
      </w:pPr>
      <w:r w:rsidRPr="00BE311E">
        <w:t>Nuestro nuevo sitio web ofrece una navegación optimizada y una funcionalidad mejorada, lo que facilita más que nunca a los usuarios acceder a información esencial, recursos y actualizaciones sobre nuestras iniciativas en curso. Sirve como</w:t>
      </w:r>
      <w:r w:rsidR="00A27569">
        <w:t xml:space="preserve"> </w:t>
      </w:r>
      <w:r w:rsidRPr="00BE311E">
        <w:t>fuente central</w:t>
      </w:r>
      <w:r w:rsidR="00A27569">
        <w:t xml:space="preserve"> </w:t>
      </w:r>
      <w:r w:rsidRPr="00BE311E">
        <w:t>para que las partes interesadas interactúen con el trabajo del EFRAG y contribuye a mejorar las prácticas de presentación de informes corporativos en toda Europa.</w:t>
      </w:r>
    </w:p>
    <w:p w14:paraId="2CD4F657" w14:textId="77777777" w:rsidR="00BE311E" w:rsidRPr="00BE311E" w:rsidRDefault="00BE311E" w:rsidP="00BE311E">
      <w:pPr>
        <w:jc w:val="both"/>
      </w:pPr>
      <w:r w:rsidRPr="00BE311E">
        <w:t>Como un paso importante hacia la responsabilidad ambiental, nuestro sitio web está alojado en servidores alimentados por fuentes de energía renovables. Esta iniciativa es parte de nuestra estrategia más amplia para minimizar nuestra huella ecológica y apoyar prácticas sustentables en todos los aspectos de nuestras operaciones.</w:t>
      </w:r>
    </w:p>
    <w:p w14:paraId="00FB341D" w14:textId="7878A6DD" w:rsidR="00BE311E" w:rsidRPr="00BE311E" w:rsidRDefault="00BE311E" w:rsidP="00BE311E">
      <w:pPr>
        <w:jc w:val="both"/>
      </w:pPr>
      <w:r w:rsidRPr="00BE311E">
        <w:rPr>
          <w:b/>
          <w:bCs/>
        </w:rPr>
        <w:t>También agradecemos sus comentarios sobre el nuevo sitio web. Envíenos sus comentarios a través de la</w:t>
      </w:r>
      <w:r w:rsidR="00D750B6">
        <w:rPr>
          <w:b/>
          <w:bCs/>
        </w:rPr>
        <w:t xml:space="preserve"> </w:t>
      </w:r>
      <w:hyperlink r:id="rId11" w:history="1">
        <w:r w:rsidRPr="00BE311E">
          <w:rPr>
            <w:rStyle w:val="Hipervnculo"/>
            <w:b/>
            <w:bCs/>
          </w:rPr>
          <w:t>encuesta en línea</w:t>
        </w:r>
      </w:hyperlink>
      <w:r w:rsidRPr="00BE311E">
        <w:rPr>
          <w:b/>
          <w:bCs/>
        </w:rPr>
        <w:t>.</w:t>
      </w:r>
    </w:p>
    <w:p w14:paraId="400ADB1B" w14:textId="77777777" w:rsidR="00BE311E" w:rsidRPr="00BE311E" w:rsidRDefault="00BE311E" w:rsidP="00BE311E">
      <w:pPr>
        <w:jc w:val="both"/>
      </w:pPr>
      <w:r w:rsidRPr="00BE311E">
        <w:t>¡Visite nuestro nuevo sitio web y manténgase actualizado sobre las iniciativas de EFRAG!</w:t>
      </w:r>
    </w:p>
    <w:p w14:paraId="330CB187" w14:textId="77777777" w:rsidR="00BE311E" w:rsidRDefault="00BE311E" w:rsidP="00BE311E">
      <w:pPr>
        <w:jc w:val="both"/>
      </w:pPr>
    </w:p>
    <w:p w14:paraId="46C4CF56" w14:textId="393D75A2" w:rsidR="00BE311E" w:rsidRDefault="00BE311E" w:rsidP="00BE311E">
      <w:pPr>
        <w:jc w:val="both"/>
      </w:pPr>
      <w:r w:rsidRPr="00BE311E">
        <w:rPr>
          <w:noProof/>
        </w:rPr>
        <w:drawing>
          <wp:inline distT="0" distB="0" distL="0" distR="0" wp14:anchorId="55AAC0F4" wp14:editId="4376A24E">
            <wp:extent cx="5612130" cy="31172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17215"/>
                    </a:xfrm>
                    <a:prstGeom prst="rect">
                      <a:avLst/>
                    </a:prstGeom>
                  </pic:spPr>
                </pic:pic>
              </a:graphicData>
            </a:graphic>
          </wp:inline>
        </w:drawing>
      </w:r>
    </w:p>
    <w:p w14:paraId="05D6A5E4" w14:textId="0E1413F0" w:rsidR="00BE311E" w:rsidRDefault="00BE311E" w:rsidP="00BE311E">
      <w:pPr>
        <w:jc w:val="both"/>
      </w:pPr>
    </w:p>
    <w:p w14:paraId="3BFFB34E" w14:textId="77777777" w:rsidR="00D750B6" w:rsidRPr="00D750B6" w:rsidRDefault="00D750B6" w:rsidP="00D750B6">
      <w:pPr>
        <w:jc w:val="both"/>
        <w:rPr>
          <w:sz w:val="32"/>
          <w:szCs w:val="32"/>
        </w:rPr>
      </w:pPr>
      <w:r w:rsidRPr="00D750B6">
        <w:rPr>
          <w:sz w:val="32"/>
          <w:szCs w:val="32"/>
        </w:rPr>
        <w:lastRenderedPageBreak/>
        <w:t>Etiquetado digital (Taxonomía XBRL)</w:t>
      </w:r>
    </w:p>
    <w:p w14:paraId="5B8E8FAD" w14:textId="77777777" w:rsidR="00D750B6" w:rsidRPr="00D750B6" w:rsidRDefault="00D750B6" w:rsidP="00D750B6">
      <w:pPr>
        <w:jc w:val="both"/>
      </w:pPr>
      <w:r w:rsidRPr="00D750B6">
        <w:t>Una parte importante de la creación de estándares modernos incluye el etiquetado digital, también conocido como la creación de la taxonomía XBRL. Según la CSRD, es necesaria una taxonomía digital para permitir que la información reportada se etiquete de acuerdo con ESRS. La taxonomía XBRL complementará la creación de un punto de acceso único europeo (ESAP) para las empresas públicas.</w:t>
      </w:r>
    </w:p>
    <w:p w14:paraId="072ABF9C" w14:textId="77777777" w:rsidR="00D750B6" w:rsidRPr="00D750B6" w:rsidRDefault="00D750B6" w:rsidP="00D750B6">
      <w:pPr>
        <w:jc w:val="both"/>
      </w:pPr>
      <w:r w:rsidRPr="00D750B6">
        <w:t>La DG FISMA solicitó al EFRAG en una carta de fecha 18 de octubre de 2022 que desarrollara el borrador de la taxonomía XBRL para:</w:t>
      </w:r>
    </w:p>
    <w:p w14:paraId="0E057C65" w14:textId="77777777" w:rsidR="00D750B6" w:rsidRPr="00D750B6" w:rsidRDefault="00D750B6" w:rsidP="00D750B6">
      <w:pPr>
        <w:numPr>
          <w:ilvl w:val="0"/>
          <w:numId w:val="3"/>
        </w:numPr>
        <w:jc w:val="both"/>
      </w:pPr>
      <w:r w:rsidRPr="00D750B6">
        <w:t>ESRS tal como se adoptó mediante acto delegado y</w:t>
      </w:r>
    </w:p>
    <w:p w14:paraId="0381F56D" w14:textId="77777777" w:rsidR="00D750B6" w:rsidRPr="00D750B6" w:rsidRDefault="00D750B6" w:rsidP="00D750B6">
      <w:pPr>
        <w:numPr>
          <w:ilvl w:val="0"/>
          <w:numId w:val="3"/>
        </w:numPr>
        <w:jc w:val="both"/>
      </w:pPr>
      <w:r w:rsidRPr="00D750B6">
        <w:t>Artículo 8 del Reglamento CE sobre taxonomía.</w:t>
      </w:r>
    </w:p>
    <w:p w14:paraId="2BB11C0F" w14:textId="77777777" w:rsidR="00D750B6" w:rsidRPr="00D750B6" w:rsidRDefault="00D750B6" w:rsidP="00D750B6">
      <w:pPr>
        <w:jc w:val="both"/>
      </w:pPr>
      <w:r w:rsidRPr="00D750B6">
        <w:t>El EFRAG también preparará una taxonomía XBRL para el LSME ESRS, tal como lo exige la CSRD. Sin embargo, esto comenzará en una etapa posterior, cuando el borrador del LSME ESRS se haya presentado a la Comisión Europea (se espera que sea a mediados de noviembre de 2024).</w:t>
      </w:r>
    </w:p>
    <w:p w14:paraId="334DA5E5" w14:textId="77777777" w:rsidR="00D750B6" w:rsidRDefault="00D750B6" w:rsidP="00BE311E">
      <w:pPr>
        <w:jc w:val="both"/>
      </w:pPr>
    </w:p>
    <w:p w14:paraId="394102C5" w14:textId="77777777" w:rsidR="00D750B6" w:rsidRDefault="00D750B6" w:rsidP="00BE311E">
      <w:pPr>
        <w:jc w:val="both"/>
      </w:pPr>
    </w:p>
    <w:p w14:paraId="4718251C" w14:textId="13D82E56" w:rsidR="00D750B6" w:rsidRDefault="00D750B6" w:rsidP="00BE311E">
      <w:pPr>
        <w:jc w:val="both"/>
      </w:pPr>
    </w:p>
    <w:p w14:paraId="67764A3E" w14:textId="400B24C9" w:rsidR="00D750B6" w:rsidRDefault="00D750B6" w:rsidP="00BE311E">
      <w:pPr>
        <w:jc w:val="both"/>
      </w:pPr>
    </w:p>
    <w:p w14:paraId="068EFAF4" w14:textId="363E2481" w:rsidR="00D750B6" w:rsidRDefault="00D750B6" w:rsidP="00BE311E">
      <w:pPr>
        <w:jc w:val="both"/>
      </w:pPr>
    </w:p>
    <w:p w14:paraId="090B35BE" w14:textId="0848F3B0" w:rsidR="00D750B6" w:rsidRDefault="00D750B6" w:rsidP="00BE311E">
      <w:pPr>
        <w:jc w:val="both"/>
      </w:pPr>
    </w:p>
    <w:p w14:paraId="71B95816" w14:textId="6E754A30" w:rsidR="00A27569" w:rsidRDefault="00A27569" w:rsidP="00BE311E">
      <w:pPr>
        <w:jc w:val="both"/>
      </w:pPr>
    </w:p>
    <w:p w14:paraId="24ABF991" w14:textId="7491F954" w:rsidR="00A27569" w:rsidRDefault="00A27569" w:rsidP="00BE311E">
      <w:pPr>
        <w:jc w:val="both"/>
      </w:pPr>
    </w:p>
    <w:p w14:paraId="1F16FA90" w14:textId="4F972148" w:rsidR="00A27569" w:rsidRDefault="00A27569" w:rsidP="00BE311E">
      <w:pPr>
        <w:jc w:val="both"/>
      </w:pPr>
    </w:p>
    <w:p w14:paraId="73E49F1F" w14:textId="24B94B8B" w:rsidR="00A27569" w:rsidRDefault="00A27569" w:rsidP="00BE311E">
      <w:pPr>
        <w:jc w:val="both"/>
      </w:pPr>
    </w:p>
    <w:p w14:paraId="7393E0E5" w14:textId="77777777" w:rsidR="00A27569" w:rsidRDefault="00A27569" w:rsidP="00BE311E">
      <w:pPr>
        <w:jc w:val="both"/>
      </w:pPr>
    </w:p>
    <w:p w14:paraId="02A1411F" w14:textId="3311E2A6" w:rsidR="00D750B6" w:rsidRDefault="00D750B6" w:rsidP="00BE311E">
      <w:pPr>
        <w:jc w:val="both"/>
      </w:pPr>
      <w:r w:rsidRPr="00D750B6">
        <w:rPr>
          <w:noProof/>
        </w:rPr>
        <w:drawing>
          <wp:inline distT="0" distB="0" distL="0" distR="0" wp14:anchorId="5030CF33" wp14:editId="1737BD80">
            <wp:extent cx="5612130" cy="208851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088515"/>
                    </a:xfrm>
                    <a:prstGeom prst="rect">
                      <a:avLst/>
                    </a:prstGeom>
                  </pic:spPr>
                </pic:pic>
              </a:graphicData>
            </a:graphic>
          </wp:inline>
        </w:drawing>
      </w:r>
    </w:p>
    <w:p w14:paraId="28028DDA" w14:textId="77777777" w:rsidR="00BE311E" w:rsidRPr="00BE311E" w:rsidRDefault="00BE311E" w:rsidP="00BE311E">
      <w:pPr>
        <w:jc w:val="both"/>
        <w:rPr>
          <w:sz w:val="32"/>
          <w:szCs w:val="32"/>
        </w:rPr>
      </w:pPr>
      <w:r w:rsidRPr="00BE311E">
        <w:rPr>
          <w:sz w:val="32"/>
          <w:szCs w:val="32"/>
        </w:rPr>
        <w:lastRenderedPageBreak/>
        <w:t>Taxonomía ESRS XBRL</w:t>
      </w:r>
    </w:p>
    <w:p w14:paraId="0508A1F1" w14:textId="77777777" w:rsidR="00BE311E" w:rsidRPr="00BE311E" w:rsidRDefault="00BE311E" w:rsidP="00BE311E">
      <w:pPr>
        <w:jc w:val="both"/>
      </w:pPr>
      <w:r w:rsidRPr="00BE311E">
        <w:t>Activo</w:t>
      </w:r>
    </w:p>
    <w:p w14:paraId="37394170" w14:textId="77777777" w:rsidR="00BE311E" w:rsidRPr="00BE311E" w:rsidRDefault="00BE311E" w:rsidP="00BE311E">
      <w:pPr>
        <w:jc w:val="both"/>
      </w:pPr>
      <w:r w:rsidRPr="00BE311E">
        <w:t>Consulta sobre el proyecto de exposición</w:t>
      </w:r>
    </w:p>
    <w:p w14:paraId="2A9049F1" w14:textId="77777777" w:rsidR="00BE311E" w:rsidRPr="00BE311E" w:rsidRDefault="00BE311E" w:rsidP="00BE311E">
      <w:pPr>
        <w:jc w:val="both"/>
        <w:rPr>
          <w:vanish/>
        </w:rPr>
      </w:pPr>
      <w:r w:rsidRPr="00BE311E">
        <w:rPr>
          <w:vanish/>
        </w:rPr>
        <w:t>Principio del formulario</w:t>
      </w:r>
    </w:p>
    <w:p w14:paraId="7C717DBC" w14:textId="77777777" w:rsidR="00BE311E" w:rsidRPr="00BE311E" w:rsidRDefault="00BE311E" w:rsidP="00BE311E">
      <w:pPr>
        <w:jc w:val="both"/>
        <w:rPr>
          <w:vanish/>
        </w:rPr>
      </w:pPr>
      <w:r w:rsidRPr="00BE311E">
        <w:rPr>
          <w:vanish/>
        </w:rPr>
        <w:t>Final del formulario</w:t>
      </w:r>
    </w:p>
    <w:p w14:paraId="28F197AD" w14:textId="77777777" w:rsidR="00BE311E" w:rsidRPr="00BE311E" w:rsidRDefault="00AD6D49" w:rsidP="00BE311E">
      <w:pPr>
        <w:jc w:val="both"/>
      </w:pPr>
      <w:hyperlink r:id="rId14" w:history="1">
        <w:r w:rsidR="00BE311E" w:rsidRPr="00BE311E">
          <w:rPr>
            <w:rStyle w:val="Hipervnculo"/>
          </w:rPr>
          <w:t>Richard Boessen</w:t>
        </w:r>
      </w:hyperlink>
    </w:p>
    <w:p w14:paraId="57547D6C" w14:textId="77777777" w:rsidR="00BE311E" w:rsidRPr="00BE311E" w:rsidRDefault="00AD6D49" w:rsidP="00BE311E">
      <w:pPr>
        <w:jc w:val="both"/>
      </w:pPr>
      <w:hyperlink r:id="rId15" w:history="1">
        <w:r w:rsidR="00BE311E" w:rsidRPr="00BE311E">
          <w:rPr>
            <w:rStyle w:val="Hipervnculo"/>
          </w:rPr>
          <w:t>Chiara Del Prete</w:t>
        </w:r>
      </w:hyperlink>
    </w:p>
    <w:p w14:paraId="2E44315A" w14:textId="60A96708" w:rsidR="00BE311E" w:rsidRPr="00BE311E" w:rsidRDefault="00BE311E" w:rsidP="00BE311E">
      <w:pPr>
        <w:jc w:val="both"/>
      </w:pPr>
      <w:r w:rsidRPr="00BE311E">
        <w:t>La Comisión Europea (CE) ha encargado a EFRAG el desarrollo de la taxonomía XBRL digital para el</w:t>
      </w:r>
      <w:r>
        <w:t xml:space="preserve"> </w:t>
      </w:r>
      <w:hyperlink r:id="rId16" w:anchor="/delegatedActs/2111" w:history="1">
        <w:r w:rsidRPr="00BE311E">
          <w:rPr>
            <w:rStyle w:val="Hipervnculo"/>
          </w:rPr>
          <w:t>Conjunto 1 de Normas Europeas de Información sobre Sostenibilidad (ESRS), adoptado por la CE el 31 de julio de 2023 y publicado en el Diario Oficial de la Unión Europea el 22 de diciembre de 2023</w:t>
        </w:r>
      </w:hyperlink>
      <w:r w:rsidRPr="00BE311E">
        <w:t>.</w:t>
      </w:r>
    </w:p>
    <w:p w14:paraId="092618C0" w14:textId="0A6BC340" w:rsidR="00BE311E" w:rsidRPr="00BE311E" w:rsidRDefault="00BE311E" w:rsidP="00BE311E">
      <w:pPr>
        <w:jc w:val="both"/>
      </w:pPr>
      <w:r w:rsidRPr="00BE311E">
        <w:t>El 8 de febrero de 2024, el EFRAG lanzó su consulta pública sobre el borrador de la taxonomía XBRL para el conjunto 1 de ESRS. La consulta estará abierta hasta el 8 de abril de 2024 y los siguientes enlaces pueden resultar útiles para las partes interesadas:</w:t>
      </w:r>
    </w:p>
    <w:p w14:paraId="15902311" w14:textId="01B2366B" w:rsidR="00BE311E" w:rsidRPr="00BE311E" w:rsidRDefault="00AD6D49" w:rsidP="00BE311E">
      <w:pPr>
        <w:numPr>
          <w:ilvl w:val="0"/>
          <w:numId w:val="1"/>
        </w:numPr>
        <w:jc w:val="both"/>
      </w:pPr>
      <w:hyperlink r:id="rId17" w:tgtFrame="_blank" w:history="1">
        <w:r w:rsidR="00BE311E" w:rsidRPr="00BE311E">
          <w:rPr>
            <w:rStyle w:val="Hipervnculo"/>
          </w:rPr>
          <w:t>Paquete de taxonomía del borrador XBRL ESRS Set 1</w:t>
        </w:r>
        <w:r w:rsidR="00BE311E">
          <w:rPr>
            <w:rStyle w:val="Hipervnculo"/>
          </w:rPr>
          <w:t xml:space="preserve"> </w:t>
        </w:r>
        <w:r w:rsidR="00BE311E" w:rsidRPr="00BE311E">
          <w:rPr>
            <w:rStyle w:val="Hipervnculo"/>
          </w:rPr>
          <w:t>(ZIP,</w:t>
        </w:r>
        <w:r w:rsidR="00BE311E">
          <w:rPr>
            <w:rStyle w:val="Hipervnculo"/>
          </w:rPr>
          <w:t xml:space="preserve"> </w:t>
        </w:r>
        <w:r w:rsidR="00BE311E" w:rsidRPr="00BE311E">
          <w:rPr>
            <w:rStyle w:val="Hipervnculo"/>
          </w:rPr>
          <w:t>archivos</w:t>
        </w:r>
        <w:r w:rsidR="00BE311E">
          <w:rPr>
            <w:rStyle w:val="Hipervnculo"/>
          </w:rPr>
          <w:t xml:space="preserve"> </w:t>
        </w:r>
        <w:r w:rsidR="00BE311E" w:rsidRPr="00BE311E">
          <w:rPr>
            <w:rStyle w:val="Hipervnculo"/>
          </w:rPr>
          <w:t>técnicos)</w:t>
        </w:r>
      </w:hyperlink>
    </w:p>
    <w:p w14:paraId="559E082F" w14:textId="33BB7D8D" w:rsidR="00BE311E" w:rsidRPr="00BE311E" w:rsidRDefault="00AD6D49" w:rsidP="00BE311E">
      <w:pPr>
        <w:numPr>
          <w:ilvl w:val="0"/>
          <w:numId w:val="1"/>
        </w:numPr>
        <w:jc w:val="both"/>
      </w:pPr>
      <w:hyperlink r:id="rId18" w:tgtFrame="_blank" w:history="1">
        <w:r w:rsidR="00BE311E" w:rsidRPr="00BE311E">
          <w:rPr>
            <w:rStyle w:val="Hipervnculo"/>
          </w:rPr>
          <w:t>Borrador XBRL ESRS Conjunto 1:</w:t>
        </w:r>
        <w:r w:rsidR="00BE311E">
          <w:rPr>
            <w:rStyle w:val="Hipervnculo"/>
          </w:rPr>
          <w:t xml:space="preserve"> </w:t>
        </w:r>
        <w:r w:rsidR="00BE311E" w:rsidRPr="00BE311E">
          <w:rPr>
            <w:rStyle w:val="Hipervnculo"/>
          </w:rPr>
          <w:t>Nota explicativa y</w:t>
        </w:r>
        <w:r w:rsidR="00BE311E">
          <w:rPr>
            <w:rStyle w:val="Hipervnculo"/>
          </w:rPr>
          <w:t xml:space="preserve"> </w:t>
        </w:r>
        <w:r w:rsidR="00BE311E" w:rsidRPr="00BE311E">
          <w:rPr>
            <w:rStyle w:val="Hipervnculo"/>
          </w:rPr>
          <w:t>fundamentos</w:t>
        </w:r>
        <w:r w:rsidR="00BE311E">
          <w:rPr>
            <w:rStyle w:val="Hipervnculo"/>
          </w:rPr>
          <w:t xml:space="preserve"> </w:t>
        </w:r>
        <w:r w:rsidR="00BE311E" w:rsidRPr="00BE311E">
          <w:rPr>
            <w:rStyle w:val="Hipervnculo"/>
          </w:rPr>
          <w:t>para</w:t>
        </w:r>
        <w:r w:rsidR="00BE311E">
          <w:rPr>
            <w:rStyle w:val="Hipervnculo"/>
          </w:rPr>
          <w:t xml:space="preserve"> </w:t>
        </w:r>
        <w:r w:rsidR="00BE311E" w:rsidRPr="00BE311E">
          <w:rPr>
            <w:rStyle w:val="Hipervnculo"/>
          </w:rPr>
          <w:t>las</w:t>
        </w:r>
        <w:r w:rsidR="00BE311E">
          <w:rPr>
            <w:rStyle w:val="Hipervnculo"/>
          </w:rPr>
          <w:t xml:space="preserve"> </w:t>
        </w:r>
        <w:r w:rsidR="00BE311E" w:rsidRPr="00BE311E">
          <w:rPr>
            <w:rStyle w:val="Hipervnculo"/>
          </w:rPr>
          <w:t>conclusiones</w:t>
        </w:r>
      </w:hyperlink>
      <w:r w:rsidR="00BE311E">
        <w:t xml:space="preserve"> </w:t>
      </w:r>
      <w:r w:rsidR="00BE311E" w:rsidRPr="00BE311E">
        <w:t>(PDF)</w:t>
      </w:r>
    </w:p>
    <w:p w14:paraId="2AACD814" w14:textId="609E2140" w:rsidR="00BE311E" w:rsidRPr="00BE311E" w:rsidRDefault="00AD6D49" w:rsidP="00BE311E">
      <w:pPr>
        <w:numPr>
          <w:ilvl w:val="1"/>
          <w:numId w:val="1"/>
        </w:numPr>
        <w:jc w:val="both"/>
      </w:pPr>
      <w:hyperlink r:id="rId19" w:tgtFrame="_blank" w:history="1">
        <w:r w:rsidR="00BE311E" w:rsidRPr="00BE311E">
          <w:rPr>
            <w:rStyle w:val="Hipervnculo"/>
          </w:rPr>
          <w:t>Anexo</w:t>
        </w:r>
        <w:r w:rsidR="00BE311E">
          <w:rPr>
            <w:rStyle w:val="Hipervnculo"/>
          </w:rPr>
          <w:t xml:space="preserve"> </w:t>
        </w:r>
        <w:r w:rsidR="00BE311E" w:rsidRPr="00BE311E">
          <w:rPr>
            <w:rStyle w:val="Hipervnculo"/>
          </w:rPr>
          <w:t>1</w:t>
        </w:r>
        <w:r w:rsidR="00BE311E">
          <w:rPr>
            <w:rStyle w:val="Hipervnculo"/>
          </w:rPr>
          <w:t xml:space="preserve"> </w:t>
        </w:r>
        <w:r w:rsidR="00BE311E" w:rsidRPr="00BE311E">
          <w:rPr>
            <w:rStyle w:val="Hipervnculo"/>
          </w:rPr>
          <w:t>de la Nota explicativa</w:t>
        </w:r>
        <w:r w:rsidR="00BE311E">
          <w:rPr>
            <w:rStyle w:val="Hipervnculo"/>
          </w:rPr>
          <w:t xml:space="preserve"> </w:t>
        </w:r>
        <w:r w:rsidR="00BE311E" w:rsidRPr="00BE311E">
          <w:rPr>
            <w:rStyle w:val="Hipervnculo"/>
          </w:rPr>
          <w:t>–</w:t>
        </w:r>
        <w:r w:rsidR="00BE311E">
          <w:rPr>
            <w:rStyle w:val="Hipervnculo"/>
          </w:rPr>
          <w:t xml:space="preserve"> </w:t>
        </w:r>
        <w:r w:rsidR="00BE311E" w:rsidRPr="00BE311E">
          <w:rPr>
            <w:rStyle w:val="Hipervnculo"/>
          </w:rPr>
          <w:t>Taxonomía ilustrada del conjunto 1 de XBRL ESRS (Excel</w:t>
        </w:r>
      </w:hyperlink>
      <w:r w:rsidR="00BE311E" w:rsidRPr="00BE311E">
        <w:t>)</w:t>
      </w:r>
    </w:p>
    <w:p w14:paraId="43EA4B69" w14:textId="33507E83" w:rsidR="00BE311E" w:rsidRPr="00BE311E" w:rsidRDefault="00AD6D49" w:rsidP="00BE311E">
      <w:pPr>
        <w:numPr>
          <w:ilvl w:val="1"/>
          <w:numId w:val="1"/>
        </w:numPr>
        <w:jc w:val="both"/>
      </w:pPr>
      <w:hyperlink r:id="rId20" w:tgtFrame="_blank" w:history="1">
        <w:r w:rsidR="00BE311E" w:rsidRPr="00BE311E">
          <w:rPr>
            <w:rStyle w:val="Hipervnculo"/>
          </w:rPr>
          <w:t>Anexo 2 de la Nota explicativa</w:t>
        </w:r>
        <w:r w:rsidR="00BE311E">
          <w:rPr>
            <w:rStyle w:val="Hipervnculo"/>
          </w:rPr>
          <w:t xml:space="preserve"> </w:t>
        </w:r>
        <w:r w:rsidR="00BE311E" w:rsidRPr="00BE311E">
          <w:rPr>
            <w:rStyle w:val="Hipervnculo"/>
          </w:rPr>
          <w:t>–</w:t>
        </w:r>
        <w:r w:rsidR="00BE311E">
          <w:rPr>
            <w:rStyle w:val="Hipervnculo"/>
          </w:rPr>
          <w:t xml:space="preserve"> </w:t>
        </w:r>
        <w:r w:rsidR="00BE311E" w:rsidRPr="00BE311E">
          <w:rPr>
            <w:rStyle w:val="Hipervnculo"/>
          </w:rPr>
          <w:t>Ejemplos ilustrativos de informes XBRL ESRS Set 1</w:t>
        </w:r>
      </w:hyperlink>
      <w:r w:rsidR="00BE311E">
        <w:t xml:space="preserve"> </w:t>
      </w:r>
      <w:r w:rsidR="00BE311E" w:rsidRPr="00BE311E">
        <w:t>(archivo ZIP)</w:t>
      </w:r>
    </w:p>
    <w:p w14:paraId="0E5BD450" w14:textId="1A0B04A8" w:rsidR="00BE311E" w:rsidRPr="00BE311E" w:rsidRDefault="00BE311E" w:rsidP="00BE311E">
      <w:pPr>
        <w:jc w:val="both"/>
      </w:pPr>
      <w:r w:rsidRPr="00BE311E">
        <w:t xml:space="preserve">Se espera que la taxonomía XBRL final se entregue a la CE y a la ESMA durante el verano de 2024. Sobre la base de esta taxonomía, la ESMA desarrollará el borrador de RTS para etiquetar la información de sostenibilidad, incluido el etiquetado de la declaración de sostenibilidad según el ESRS. Dichas reglas de etiquetado serán finalmente adoptadas por la CE mediante un acto delegado (AD) que modifica el Reglamento </w:t>
      </w:r>
      <w:proofErr w:type="gramStart"/>
      <w:r w:rsidRPr="00BE311E">
        <w:t>Delegado</w:t>
      </w:r>
      <w:proofErr w:type="gramEnd"/>
      <w:r w:rsidRPr="00BE311E">
        <w:t xml:space="preserve"> (UE) 2019/815 de la Comisión sobre el</w:t>
      </w:r>
      <w:r w:rsidR="00A27569">
        <w:t xml:space="preserve"> </w:t>
      </w:r>
      <w:hyperlink r:id="rId21" w:history="1">
        <w:r w:rsidRPr="00BE311E">
          <w:rPr>
            <w:rStyle w:val="Hipervnculo"/>
          </w:rPr>
          <w:t>Formato Electrónico Único Europeo (ESEF)</w:t>
        </w:r>
      </w:hyperlink>
      <w:r w:rsidRPr="00BE311E">
        <w:t>.</w:t>
      </w:r>
    </w:p>
    <w:p w14:paraId="12447927" w14:textId="616C2414" w:rsidR="00BE311E" w:rsidRDefault="00BE311E" w:rsidP="00BE311E">
      <w:pPr>
        <w:jc w:val="both"/>
      </w:pPr>
    </w:p>
    <w:p w14:paraId="0CB10263" w14:textId="7DB551C0" w:rsidR="00BE311E" w:rsidRDefault="00BE311E" w:rsidP="00BE311E">
      <w:pPr>
        <w:jc w:val="both"/>
      </w:pPr>
    </w:p>
    <w:p w14:paraId="300E1F06" w14:textId="28C8EECA" w:rsidR="00BE311E" w:rsidRDefault="00BE311E" w:rsidP="00BE311E">
      <w:pPr>
        <w:jc w:val="both"/>
      </w:pPr>
    </w:p>
    <w:p w14:paraId="3F7D8B68" w14:textId="4E59EE52" w:rsidR="00BE311E" w:rsidRDefault="00BE311E" w:rsidP="00BE311E">
      <w:pPr>
        <w:jc w:val="both"/>
      </w:pPr>
    </w:p>
    <w:p w14:paraId="6B189BF3" w14:textId="3DB2E7D2" w:rsidR="00BE311E" w:rsidRDefault="00BE311E" w:rsidP="00BE311E">
      <w:pPr>
        <w:jc w:val="both"/>
      </w:pPr>
    </w:p>
    <w:p w14:paraId="137436D6" w14:textId="6C687785" w:rsidR="0046422C" w:rsidRDefault="0046422C" w:rsidP="00BE311E">
      <w:pPr>
        <w:jc w:val="both"/>
      </w:pPr>
    </w:p>
    <w:p w14:paraId="7EBE29F7" w14:textId="605CE449" w:rsidR="0046422C" w:rsidRDefault="0046422C" w:rsidP="00BE311E">
      <w:pPr>
        <w:jc w:val="both"/>
      </w:pPr>
    </w:p>
    <w:p w14:paraId="7A5DAA8C" w14:textId="77777777" w:rsidR="00BE311E" w:rsidRPr="00BE311E" w:rsidRDefault="00BE311E" w:rsidP="00BE311E">
      <w:pPr>
        <w:jc w:val="both"/>
        <w:rPr>
          <w:sz w:val="32"/>
          <w:szCs w:val="32"/>
        </w:rPr>
      </w:pPr>
      <w:r w:rsidRPr="00BE311E">
        <w:rPr>
          <w:sz w:val="32"/>
          <w:szCs w:val="32"/>
        </w:rPr>
        <w:lastRenderedPageBreak/>
        <w:t>Artículo 8 Taxonomía XBRL</w:t>
      </w:r>
    </w:p>
    <w:p w14:paraId="7664B80A" w14:textId="77777777" w:rsidR="00BE311E" w:rsidRPr="00BE311E" w:rsidRDefault="00BE311E" w:rsidP="00BE311E">
      <w:pPr>
        <w:jc w:val="both"/>
      </w:pPr>
      <w:r w:rsidRPr="00BE311E">
        <w:t>Activo</w:t>
      </w:r>
    </w:p>
    <w:p w14:paraId="10F54927" w14:textId="77777777" w:rsidR="00BE311E" w:rsidRPr="00BE311E" w:rsidRDefault="00BE311E" w:rsidP="00BE311E">
      <w:pPr>
        <w:jc w:val="both"/>
      </w:pPr>
      <w:r w:rsidRPr="00BE311E">
        <w:t>Consulta sobre el proyecto de exposición</w:t>
      </w:r>
    </w:p>
    <w:p w14:paraId="2D0417D7" w14:textId="77777777" w:rsidR="00BE311E" w:rsidRPr="00BE311E" w:rsidRDefault="00BE311E" w:rsidP="00BE311E">
      <w:pPr>
        <w:jc w:val="both"/>
        <w:rPr>
          <w:vanish/>
        </w:rPr>
      </w:pPr>
      <w:r w:rsidRPr="00BE311E">
        <w:rPr>
          <w:vanish/>
        </w:rPr>
        <w:t>Principio del formulario</w:t>
      </w:r>
    </w:p>
    <w:p w14:paraId="11134F33" w14:textId="77777777" w:rsidR="00BE311E" w:rsidRPr="00BE311E" w:rsidRDefault="00BE311E" w:rsidP="00BE311E">
      <w:pPr>
        <w:jc w:val="both"/>
        <w:rPr>
          <w:vanish/>
        </w:rPr>
      </w:pPr>
      <w:r w:rsidRPr="00BE311E">
        <w:rPr>
          <w:vanish/>
        </w:rPr>
        <w:t>Final del formulario</w:t>
      </w:r>
    </w:p>
    <w:p w14:paraId="2CD224EE" w14:textId="77777777" w:rsidR="00BE311E" w:rsidRPr="00BE311E" w:rsidRDefault="00AD6D49" w:rsidP="00BE311E">
      <w:pPr>
        <w:jc w:val="both"/>
      </w:pPr>
      <w:hyperlink r:id="rId22" w:history="1">
        <w:r w:rsidR="00BE311E" w:rsidRPr="00BE311E">
          <w:rPr>
            <w:rStyle w:val="Hipervnculo"/>
          </w:rPr>
          <w:t>Richard Boessen</w:t>
        </w:r>
      </w:hyperlink>
    </w:p>
    <w:p w14:paraId="09A5816D" w14:textId="613F1E19" w:rsidR="00BE311E" w:rsidRPr="00BE311E" w:rsidRDefault="00BE311E" w:rsidP="00BE311E">
      <w:pPr>
        <w:jc w:val="both"/>
      </w:pPr>
      <w:r w:rsidRPr="00BE311E">
        <w:t>La Comisión Europea (CE) ha encargado al EFRAG que desarrolle la taxonomía digital para los</w:t>
      </w:r>
      <w:r>
        <w:t xml:space="preserve"> </w:t>
      </w:r>
      <w:hyperlink r:id="rId23" w:history="1">
        <w:r w:rsidRPr="00BE311E">
          <w:rPr>
            <w:rStyle w:val="Hipervnculo"/>
          </w:rPr>
          <w:t>requisitos de divulgación del Artículo 8 según el Reglamento Delegado (UE) 2021/2178 (Artículo 8), que complementa el Reglamento 2020/852 (Reglamento de Taxonomía de la UE)</w:t>
        </w:r>
      </w:hyperlink>
      <w:r w:rsidRPr="00BE311E">
        <w:t>.</w:t>
      </w:r>
    </w:p>
    <w:p w14:paraId="2D62E6F9" w14:textId="19D3BCD2" w:rsidR="00BE311E" w:rsidRPr="00BE311E" w:rsidRDefault="00AD6D49" w:rsidP="00BE311E">
      <w:pPr>
        <w:numPr>
          <w:ilvl w:val="0"/>
          <w:numId w:val="2"/>
        </w:numPr>
        <w:jc w:val="both"/>
      </w:pPr>
      <w:hyperlink r:id="rId24" w:tgtFrame="_blank" w:history="1">
        <w:r w:rsidR="00BE311E" w:rsidRPr="00BE311E">
          <w:rPr>
            <w:rStyle w:val="Hipervnculo"/>
          </w:rPr>
          <w:t>Borrador de la taxonomía del artículo 8 de XBRL (ZIP, archivos técnicos</w:t>
        </w:r>
      </w:hyperlink>
      <w:r w:rsidR="00BE311E" w:rsidRPr="00BE311E">
        <w:t>)</w:t>
      </w:r>
    </w:p>
    <w:p w14:paraId="4643B706" w14:textId="45C9C77E" w:rsidR="00BE311E" w:rsidRPr="00BE311E" w:rsidRDefault="00AD6D49" w:rsidP="00BE311E">
      <w:pPr>
        <w:numPr>
          <w:ilvl w:val="0"/>
          <w:numId w:val="2"/>
        </w:numPr>
        <w:jc w:val="both"/>
      </w:pPr>
      <w:hyperlink r:id="rId25" w:tgtFrame="_blank" w:history="1">
        <w:r w:rsidR="00BE311E" w:rsidRPr="00BE311E">
          <w:rPr>
            <w:rStyle w:val="Hipervnculo"/>
          </w:rPr>
          <w:t>Proyecto de artículo 8 del XBRL: Nota explicativa y fundamento de las conclusiones</w:t>
        </w:r>
      </w:hyperlink>
      <w:r w:rsidR="00BE311E">
        <w:t xml:space="preserve"> </w:t>
      </w:r>
      <w:r w:rsidR="00BE311E" w:rsidRPr="00BE311E">
        <w:t>(PDF)</w:t>
      </w:r>
    </w:p>
    <w:p w14:paraId="2ED12F7B" w14:textId="5472E2B3" w:rsidR="00BE311E" w:rsidRPr="00BE311E" w:rsidRDefault="00AD6D49" w:rsidP="00BE311E">
      <w:pPr>
        <w:numPr>
          <w:ilvl w:val="1"/>
          <w:numId w:val="2"/>
        </w:numPr>
        <w:jc w:val="both"/>
      </w:pPr>
      <w:hyperlink r:id="rId26" w:history="1">
        <w:r w:rsidR="00BE311E" w:rsidRPr="00BE311E">
          <w:rPr>
            <w:rStyle w:val="Hipervnculo"/>
          </w:rPr>
          <w:t>Anexo 1 de la Nota Explicativa – Artículo 8 Taxonomía ilustrada (Excel)</w:t>
        </w:r>
      </w:hyperlink>
    </w:p>
    <w:p w14:paraId="2A175468" w14:textId="12049272" w:rsidR="00BE311E" w:rsidRPr="00BE311E" w:rsidRDefault="00AD6D49" w:rsidP="00BE311E">
      <w:pPr>
        <w:numPr>
          <w:ilvl w:val="1"/>
          <w:numId w:val="2"/>
        </w:numPr>
        <w:jc w:val="both"/>
      </w:pPr>
      <w:hyperlink r:id="rId27" w:tgtFrame="_blank" w:history="1">
        <w:r w:rsidR="00BE311E" w:rsidRPr="00BE311E">
          <w:rPr>
            <w:rStyle w:val="Hipervnculo"/>
          </w:rPr>
          <w:t>Anexo 2 de la Nota explicativa – Ejemplos ilustrativos de informes XBRL Artículo 8</w:t>
        </w:r>
      </w:hyperlink>
      <w:r w:rsidR="00BE311E">
        <w:t xml:space="preserve"> </w:t>
      </w:r>
      <w:r w:rsidR="00BE311E" w:rsidRPr="00BE311E">
        <w:t>(archivo ZIP)</w:t>
      </w:r>
    </w:p>
    <w:p w14:paraId="5C0DE1A3" w14:textId="319DE50E" w:rsidR="00BE311E" w:rsidRPr="00BE311E" w:rsidRDefault="00BE311E" w:rsidP="00BE311E">
      <w:pPr>
        <w:jc w:val="both"/>
      </w:pPr>
      <w:r w:rsidRPr="00BE311E">
        <w:t xml:space="preserve">Se espera que la taxonomía XBRL final se entregue a la CE y a la ESMA durante el verano de 2024. Sobre la base de esta taxonomía XBRL, la Autoridad Europea de Valores y Mercados (ESMA) desarrollará el borrador de RTS para etiquetar la información de sostenibilidad, incluida la información del artículo 8. Dichas reglas de etiquetado serán finalmente adoptadas por la CE mediante un acto delegado (AD) que modifica el Reglamento </w:t>
      </w:r>
      <w:proofErr w:type="gramStart"/>
      <w:r w:rsidRPr="00BE311E">
        <w:t>Delegado</w:t>
      </w:r>
      <w:proofErr w:type="gramEnd"/>
      <w:r w:rsidRPr="00BE311E">
        <w:t xml:space="preserve"> (UE) 2019/815 de la Comisión sobre el</w:t>
      </w:r>
      <w:r>
        <w:t xml:space="preserve"> </w:t>
      </w:r>
      <w:hyperlink r:id="rId28" w:history="1">
        <w:r w:rsidRPr="00BE311E">
          <w:rPr>
            <w:rStyle w:val="Hipervnculo"/>
          </w:rPr>
          <w:t>Formato Electrónico Único Europeo (ESEF)</w:t>
        </w:r>
      </w:hyperlink>
      <w:r w:rsidRPr="00BE311E">
        <w:t>.</w:t>
      </w:r>
    </w:p>
    <w:p w14:paraId="1B960B79" w14:textId="77777777" w:rsidR="00BE311E" w:rsidRPr="00BE311E" w:rsidRDefault="00BE311E" w:rsidP="00BE311E">
      <w:pPr>
        <w:jc w:val="both"/>
      </w:pPr>
      <w:r w:rsidRPr="00BE311E">
        <w:t xml:space="preserve">El EFRAG no asume ninguna responsabilidad por la estructura y el contenido de los requisitos de divulgación del Artículo 8 y los Actos </w:t>
      </w:r>
      <w:proofErr w:type="gramStart"/>
      <w:r w:rsidRPr="00BE311E">
        <w:t>Delegados</w:t>
      </w:r>
      <w:proofErr w:type="gramEnd"/>
      <w:r w:rsidRPr="00BE311E">
        <w:t>, ya que el EFRAG simplemente sirve como soporte digital y técnico para la CE, transponiendo los requisitos de divulgación del Artículo 8 a un formato legible por máquina.</w:t>
      </w:r>
    </w:p>
    <w:p w14:paraId="49BACDDC" w14:textId="77777777" w:rsidR="00BE311E" w:rsidRDefault="00BE311E" w:rsidP="00BE311E">
      <w:pPr>
        <w:jc w:val="both"/>
      </w:pPr>
    </w:p>
    <w:sectPr w:rsidR="00BE3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98E"/>
    <w:multiLevelType w:val="multilevel"/>
    <w:tmpl w:val="E48A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5A3C"/>
    <w:multiLevelType w:val="multilevel"/>
    <w:tmpl w:val="DCCA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A29F7"/>
    <w:multiLevelType w:val="multilevel"/>
    <w:tmpl w:val="4E1E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1E"/>
    <w:rsid w:val="0046422C"/>
    <w:rsid w:val="009D7D97"/>
    <w:rsid w:val="00A27569"/>
    <w:rsid w:val="00AD6D49"/>
    <w:rsid w:val="00BE311E"/>
    <w:rsid w:val="00D75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AC2B"/>
  <w15:chartTrackingRefBased/>
  <w15:docId w15:val="{56FE091D-0128-4BD2-908C-31D872F7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311E"/>
    <w:rPr>
      <w:color w:val="0563C1" w:themeColor="hyperlink"/>
      <w:u w:val="single"/>
    </w:rPr>
  </w:style>
  <w:style w:type="character" w:styleId="Mencinsinresolver">
    <w:name w:val="Unresolved Mention"/>
    <w:basedOn w:val="Fuentedeprrafopredeter"/>
    <w:uiPriority w:val="99"/>
    <w:semiHidden/>
    <w:unhideWhenUsed/>
    <w:rsid w:val="00BE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3842">
      <w:bodyDiv w:val="1"/>
      <w:marLeft w:val="0"/>
      <w:marRight w:val="0"/>
      <w:marTop w:val="0"/>
      <w:marBottom w:val="0"/>
      <w:divBdr>
        <w:top w:val="none" w:sz="0" w:space="0" w:color="auto"/>
        <w:left w:val="none" w:sz="0" w:space="0" w:color="auto"/>
        <w:bottom w:val="none" w:sz="0" w:space="0" w:color="auto"/>
        <w:right w:val="none" w:sz="0" w:space="0" w:color="auto"/>
      </w:divBdr>
      <w:divsChild>
        <w:div w:id="1914122279">
          <w:marLeft w:val="0"/>
          <w:marRight w:val="0"/>
          <w:marTop w:val="0"/>
          <w:marBottom w:val="0"/>
          <w:divBdr>
            <w:top w:val="none" w:sz="0" w:space="0" w:color="auto"/>
            <w:left w:val="none" w:sz="0" w:space="0" w:color="auto"/>
            <w:bottom w:val="none" w:sz="0" w:space="0" w:color="auto"/>
            <w:right w:val="none" w:sz="0" w:space="0" w:color="auto"/>
          </w:divBdr>
        </w:div>
        <w:div w:id="1738479214">
          <w:marLeft w:val="0"/>
          <w:marRight w:val="0"/>
          <w:marTop w:val="0"/>
          <w:marBottom w:val="0"/>
          <w:divBdr>
            <w:top w:val="none" w:sz="0" w:space="0" w:color="auto"/>
            <w:left w:val="none" w:sz="0" w:space="0" w:color="auto"/>
            <w:bottom w:val="none" w:sz="0" w:space="0" w:color="auto"/>
            <w:right w:val="none" w:sz="0" w:space="0" w:color="auto"/>
          </w:divBdr>
          <w:divsChild>
            <w:div w:id="1130169297">
              <w:marLeft w:val="0"/>
              <w:marRight w:val="0"/>
              <w:marTop w:val="0"/>
              <w:marBottom w:val="0"/>
              <w:divBdr>
                <w:top w:val="none" w:sz="0" w:space="0" w:color="auto"/>
                <w:left w:val="none" w:sz="0" w:space="0" w:color="auto"/>
                <w:bottom w:val="none" w:sz="0" w:space="0" w:color="auto"/>
                <w:right w:val="none" w:sz="0" w:space="0" w:color="auto"/>
              </w:divBdr>
              <w:divsChild>
                <w:div w:id="21093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4850">
      <w:bodyDiv w:val="1"/>
      <w:marLeft w:val="0"/>
      <w:marRight w:val="0"/>
      <w:marTop w:val="0"/>
      <w:marBottom w:val="0"/>
      <w:divBdr>
        <w:top w:val="none" w:sz="0" w:space="0" w:color="auto"/>
        <w:left w:val="none" w:sz="0" w:space="0" w:color="auto"/>
        <w:bottom w:val="none" w:sz="0" w:space="0" w:color="auto"/>
        <w:right w:val="none" w:sz="0" w:space="0" w:color="auto"/>
      </w:divBdr>
      <w:divsChild>
        <w:div w:id="447355814">
          <w:marLeft w:val="0"/>
          <w:marRight w:val="0"/>
          <w:marTop w:val="0"/>
          <w:marBottom w:val="0"/>
          <w:divBdr>
            <w:top w:val="none" w:sz="0" w:space="0" w:color="auto"/>
            <w:left w:val="none" w:sz="0" w:space="0" w:color="auto"/>
            <w:bottom w:val="none" w:sz="0" w:space="0" w:color="auto"/>
            <w:right w:val="none" w:sz="0" w:space="0" w:color="auto"/>
          </w:divBdr>
        </w:div>
        <w:div w:id="798717693">
          <w:marLeft w:val="0"/>
          <w:marRight w:val="0"/>
          <w:marTop w:val="300"/>
          <w:marBottom w:val="300"/>
          <w:divBdr>
            <w:top w:val="none" w:sz="0" w:space="0" w:color="auto"/>
            <w:left w:val="none" w:sz="0" w:space="0" w:color="auto"/>
            <w:bottom w:val="none" w:sz="0" w:space="0" w:color="auto"/>
            <w:right w:val="none" w:sz="0" w:space="0" w:color="auto"/>
          </w:divBdr>
        </w:div>
        <w:div w:id="522717909">
          <w:marLeft w:val="0"/>
          <w:marRight w:val="0"/>
          <w:marTop w:val="600"/>
          <w:marBottom w:val="0"/>
          <w:divBdr>
            <w:top w:val="none" w:sz="0" w:space="0" w:color="auto"/>
            <w:left w:val="none" w:sz="0" w:space="0" w:color="auto"/>
            <w:bottom w:val="none" w:sz="0" w:space="0" w:color="auto"/>
            <w:right w:val="none" w:sz="0" w:space="0" w:color="auto"/>
          </w:divBdr>
          <w:divsChild>
            <w:div w:id="162523392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544177575">
      <w:bodyDiv w:val="1"/>
      <w:marLeft w:val="0"/>
      <w:marRight w:val="0"/>
      <w:marTop w:val="0"/>
      <w:marBottom w:val="0"/>
      <w:divBdr>
        <w:top w:val="none" w:sz="0" w:space="0" w:color="auto"/>
        <w:left w:val="none" w:sz="0" w:space="0" w:color="auto"/>
        <w:bottom w:val="none" w:sz="0" w:space="0" w:color="auto"/>
        <w:right w:val="none" w:sz="0" w:space="0" w:color="auto"/>
      </w:divBdr>
      <w:divsChild>
        <w:div w:id="664015900">
          <w:marLeft w:val="0"/>
          <w:marRight w:val="0"/>
          <w:marTop w:val="0"/>
          <w:marBottom w:val="0"/>
          <w:divBdr>
            <w:top w:val="none" w:sz="0" w:space="0" w:color="auto"/>
            <w:left w:val="none" w:sz="0" w:space="0" w:color="auto"/>
            <w:bottom w:val="none" w:sz="0" w:space="0" w:color="auto"/>
            <w:right w:val="none" w:sz="0" w:space="0" w:color="auto"/>
          </w:divBdr>
        </w:div>
        <w:div w:id="2094930612">
          <w:marLeft w:val="0"/>
          <w:marRight w:val="0"/>
          <w:marTop w:val="0"/>
          <w:marBottom w:val="0"/>
          <w:divBdr>
            <w:top w:val="none" w:sz="0" w:space="0" w:color="auto"/>
            <w:left w:val="none" w:sz="0" w:space="0" w:color="auto"/>
            <w:bottom w:val="none" w:sz="0" w:space="0" w:color="auto"/>
            <w:right w:val="none" w:sz="0" w:space="0" w:color="auto"/>
          </w:divBdr>
        </w:div>
        <w:div w:id="1063720358">
          <w:marLeft w:val="0"/>
          <w:marRight w:val="0"/>
          <w:marTop w:val="0"/>
          <w:marBottom w:val="0"/>
          <w:divBdr>
            <w:top w:val="none" w:sz="0" w:space="0" w:color="auto"/>
            <w:left w:val="none" w:sz="0" w:space="0" w:color="auto"/>
            <w:bottom w:val="none" w:sz="0" w:space="0" w:color="auto"/>
            <w:right w:val="none" w:sz="0" w:space="0" w:color="auto"/>
          </w:divBdr>
          <w:divsChild>
            <w:div w:id="21169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72154">
      <w:bodyDiv w:val="1"/>
      <w:marLeft w:val="0"/>
      <w:marRight w:val="0"/>
      <w:marTop w:val="0"/>
      <w:marBottom w:val="0"/>
      <w:divBdr>
        <w:top w:val="none" w:sz="0" w:space="0" w:color="auto"/>
        <w:left w:val="none" w:sz="0" w:space="0" w:color="auto"/>
        <w:bottom w:val="none" w:sz="0" w:space="0" w:color="auto"/>
        <w:right w:val="none" w:sz="0" w:space="0" w:color="auto"/>
      </w:divBdr>
      <w:divsChild>
        <w:div w:id="1054502755">
          <w:marLeft w:val="0"/>
          <w:marRight w:val="0"/>
          <w:marTop w:val="0"/>
          <w:marBottom w:val="0"/>
          <w:divBdr>
            <w:top w:val="none" w:sz="0" w:space="0" w:color="auto"/>
            <w:left w:val="none" w:sz="0" w:space="0" w:color="auto"/>
            <w:bottom w:val="none" w:sz="0" w:space="0" w:color="auto"/>
            <w:right w:val="none" w:sz="0" w:space="0" w:color="auto"/>
          </w:divBdr>
        </w:div>
        <w:div w:id="1624773508">
          <w:marLeft w:val="0"/>
          <w:marRight w:val="0"/>
          <w:marTop w:val="0"/>
          <w:marBottom w:val="0"/>
          <w:divBdr>
            <w:top w:val="none" w:sz="0" w:space="0" w:color="auto"/>
            <w:left w:val="none" w:sz="0" w:space="0" w:color="auto"/>
            <w:bottom w:val="none" w:sz="0" w:space="0" w:color="auto"/>
            <w:right w:val="none" w:sz="0" w:space="0" w:color="auto"/>
          </w:divBdr>
        </w:div>
        <w:div w:id="276104977">
          <w:marLeft w:val="0"/>
          <w:marRight w:val="0"/>
          <w:marTop w:val="0"/>
          <w:marBottom w:val="0"/>
          <w:divBdr>
            <w:top w:val="none" w:sz="0" w:space="0" w:color="auto"/>
            <w:left w:val="none" w:sz="0" w:space="0" w:color="auto"/>
            <w:bottom w:val="none" w:sz="0" w:space="0" w:color="auto"/>
            <w:right w:val="none" w:sz="0" w:space="0" w:color="auto"/>
          </w:divBdr>
          <w:divsChild>
            <w:div w:id="12629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43331">
      <w:bodyDiv w:val="1"/>
      <w:marLeft w:val="0"/>
      <w:marRight w:val="0"/>
      <w:marTop w:val="0"/>
      <w:marBottom w:val="0"/>
      <w:divBdr>
        <w:top w:val="none" w:sz="0" w:space="0" w:color="auto"/>
        <w:left w:val="none" w:sz="0" w:space="0" w:color="auto"/>
        <w:bottom w:val="none" w:sz="0" w:space="0" w:color="auto"/>
        <w:right w:val="none" w:sz="0" w:space="0" w:color="auto"/>
      </w:divBdr>
      <w:divsChild>
        <w:div w:id="1018192939">
          <w:marLeft w:val="0"/>
          <w:marRight w:val="0"/>
          <w:marTop w:val="0"/>
          <w:marBottom w:val="0"/>
          <w:divBdr>
            <w:top w:val="none" w:sz="0" w:space="0" w:color="auto"/>
            <w:left w:val="none" w:sz="0" w:space="0" w:color="auto"/>
            <w:bottom w:val="none" w:sz="0" w:space="0" w:color="auto"/>
            <w:right w:val="none" w:sz="0" w:space="0" w:color="auto"/>
          </w:divBdr>
        </w:div>
        <w:div w:id="2047369140">
          <w:marLeft w:val="0"/>
          <w:marRight w:val="0"/>
          <w:marTop w:val="0"/>
          <w:marBottom w:val="0"/>
          <w:divBdr>
            <w:top w:val="none" w:sz="0" w:space="0" w:color="auto"/>
            <w:left w:val="none" w:sz="0" w:space="0" w:color="auto"/>
            <w:bottom w:val="none" w:sz="0" w:space="0" w:color="auto"/>
            <w:right w:val="none" w:sz="0" w:space="0" w:color="auto"/>
          </w:divBdr>
        </w:div>
        <w:div w:id="839124163">
          <w:marLeft w:val="0"/>
          <w:marRight w:val="0"/>
          <w:marTop w:val="0"/>
          <w:marBottom w:val="0"/>
          <w:divBdr>
            <w:top w:val="none" w:sz="0" w:space="0" w:color="auto"/>
            <w:left w:val="none" w:sz="0" w:space="0" w:color="auto"/>
            <w:bottom w:val="none" w:sz="0" w:space="0" w:color="auto"/>
            <w:right w:val="none" w:sz="0" w:space="0" w:color="auto"/>
          </w:divBdr>
          <w:divsChild>
            <w:div w:id="812525819">
              <w:marLeft w:val="0"/>
              <w:marRight w:val="0"/>
              <w:marTop w:val="0"/>
              <w:marBottom w:val="0"/>
              <w:divBdr>
                <w:top w:val="none" w:sz="0" w:space="0" w:color="auto"/>
                <w:left w:val="none" w:sz="0" w:space="0" w:color="auto"/>
                <w:bottom w:val="none" w:sz="0" w:space="0" w:color="auto"/>
                <w:right w:val="none" w:sz="0" w:space="0" w:color="auto"/>
              </w:divBdr>
              <w:divsChild>
                <w:div w:id="446856505">
                  <w:marLeft w:val="0"/>
                  <w:marRight w:val="0"/>
                  <w:marTop w:val="0"/>
                  <w:marBottom w:val="0"/>
                  <w:divBdr>
                    <w:top w:val="none" w:sz="0" w:space="0" w:color="auto"/>
                    <w:left w:val="none" w:sz="0" w:space="0" w:color="auto"/>
                    <w:bottom w:val="none" w:sz="0" w:space="0" w:color="auto"/>
                    <w:right w:val="none" w:sz="0" w:space="0" w:color="auto"/>
                  </w:divBdr>
                </w:div>
                <w:div w:id="6437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2626">
      <w:bodyDiv w:val="1"/>
      <w:marLeft w:val="0"/>
      <w:marRight w:val="0"/>
      <w:marTop w:val="0"/>
      <w:marBottom w:val="0"/>
      <w:divBdr>
        <w:top w:val="none" w:sz="0" w:space="0" w:color="auto"/>
        <w:left w:val="none" w:sz="0" w:space="0" w:color="auto"/>
        <w:bottom w:val="none" w:sz="0" w:space="0" w:color="auto"/>
        <w:right w:val="none" w:sz="0" w:space="0" w:color="auto"/>
      </w:divBdr>
      <w:divsChild>
        <w:div w:id="1626279738">
          <w:marLeft w:val="0"/>
          <w:marRight w:val="0"/>
          <w:marTop w:val="0"/>
          <w:marBottom w:val="0"/>
          <w:divBdr>
            <w:top w:val="none" w:sz="0" w:space="0" w:color="auto"/>
            <w:left w:val="none" w:sz="0" w:space="0" w:color="auto"/>
            <w:bottom w:val="none" w:sz="0" w:space="0" w:color="auto"/>
            <w:right w:val="none" w:sz="0" w:space="0" w:color="auto"/>
          </w:divBdr>
        </w:div>
        <w:div w:id="836190394">
          <w:marLeft w:val="0"/>
          <w:marRight w:val="0"/>
          <w:marTop w:val="0"/>
          <w:marBottom w:val="0"/>
          <w:divBdr>
            <w:top w:val="none" w:sz="0" w:space="0" w:color="auto"/>
            <w:left w:val="none" w:sz="0" w:space="0" w:color="auto"/>
            <w:bottom w:val="none" w:sz="0" w:space="0" w:color="auto"/>
            <w:right w:val="none" w:sz="0" w:space="0" w:color="auto"/>
          </w:divBdr>
        </w:div>
        <w:div w:id="1687094541">
          <w:marLeft w:val="0"/>
          <w:marRight w:val="0"/>
          <w:marTop w:val="0"/>
          <w:marBottom w:val="0"/>
          <w:divBdr>
            <w:top w:val="none" w:sz="0" w:space="0" w:color="auto"/>
            <w:left w:val="none" w:sz="0" w:space="0" w:color="auto"/>
            <w:bottom w:val="none" w:sz="0" w:space="0" w:color="auto"/>
            <w:right w:val="none" w:sz="0" w:space="0" w:color="auto"/>
          </w:divBdr>
          <w:divsChild>
            <w:div w:id="1117411614">
              <w:marLeft w:val="0"/>
              <w:marRight w:val="0"/>
              <w:marTop w:val="0"/>
              <w:marBottom w:val="0"/>
              <w:divBdr>
                <w:top w:val="none" w:sz="0" w:space="0" w:color="auto"/>
                <w:left w:val="none" w:sz="0" w:space="0" w:color="auto"/>
                <w:bottom w:val="none" w:sz="0" w:space="0" w:color="auto"/>
                <w:right w:val="none" w:sz="0" w:space="0" w:color="auto"/>
              </w:divBdr>
              <w:divsChild>
                <w:div w:id="12450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905">
      <w:bodyDiv w:val="1"/>
      <w:marLeft w:val="0"/>
      <w:marRight w:val="0"/>
      <w:marTop w:val="0"/>
      <w:marBottom w:val="0"/>
      <w:divBdr>
        <w:top w:val="none" w:sz="0" w:space="0" w:color="auto"/>
        <w:left w:val="none" w:sz="0" w:space="0" w:color="auto"/>
        <w:bottom w:val="none" w:sz="0" w:space="0" w:color="auto"/>
        <w:right w:val="none" w:sz="0" w:space="0" w:color="auto"/>
      </w:divBdr>
      <w:divsChild>
        <w:div w:id="1812793754">
          <w:marLeft w:val="0"/>
          <w:marRight w:val="0"/>
          <w:marTop w:val="0"/>
          <w:marBottom w:val="240"/>
          <w:divBdr>
            <w:top w:val="none" w:sz="0" w:space="0" w:color="auto"/>
            <w:left w:val="none" w:sz="0" w:space="0" w:color="auto"/>
            <w:bottom w:val="none" w:sz="0" w:space="0" w:color="auto"/>
            <w:right w:val="none" w:sz="0" w:space="0" w:color="auto"/>
          </w:divBdr>
        </w:div>
      </w:divsChild>
    </w:div>
    <w:div w:id="1713076365">
      <w:bodyDiv w:val="1"/>
      <w:marLeft w:val="0"/>
      <w:marRight w:val="0"/>
      <w:marTop w:val="0"/>
      <w:marBottom w:val="0"/>
      <w:divBdr>
        <w:top w:val="none" w:sz="0" w:space="0" w:color="auto"/>
        <w:left w:val="none" w:sz="0" w:space="0" w:color="auto"/>
        <w:bottom w:val="none" w:sz="0" w:space="0" w:color="auto"/>
        <w:right w:val="none" w:sz="0" w:space="0" w:color="auto"/>
      </w:divBdr>
    </w:div>
    <w:div w:id="18688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taxonomies/" TargetMode="External"/><Relationship Id="rId13" Type="http://schemas.openxmlformats.org/officeDocument/2006/relationships/image" Target="media/image3.png"/><Relationship Id="rId18" Type="http://schemas.openxmlformats.org/officeDocument/2006/relationships/hyperlink" Target="https://xbrl.efrag.org/downloads/Draft-ESRS-Set1-XBRL-Taxonomy-Explanatory-Note-and-Basis-for-Conclusions.pdf" TargetMode="External"/><Relationship Id="rId26" Type="http://schemas.openxmlformats.org/officeDocument/2006/relationships/hyperlink" Target="https://xbrl.efrag.org/downloads/Annex-1-Draft-Article8-XBRL-Taxonomy-illustrated-in-Excel.xlsx" TargetMode="External"/><Relationship Id="rId3" Type="http://schemas.openxmlformats.org/officeDocument/2006/relationships/settings" Target="settings.xml"/><Relationship Id="rId21" Type="http://schemas.openxmlformats.org/officeDocument/2006/relationships/hyperlink" Target="https://www.esma.europa.eu/issuer-disclosure/electronic-reporting" TargetMode="External"/><Relationship Id="rId7" Type="http://schemas.openxmlformats.org/officeDocument/2006/relationships/hyperlink" Target="https://www.efrag.org/en/news-and-calendar/news/efrag-launches-new-website" TargetMode="External"/><Relationship Id="rId12" Type="http://schemas.openxmlformats.org/officeDocument/2006/relationships/image" Target="media/image2.png"/><Relationship Id="rId17" Type="http://schemas.openxmlformats.org/officeDocument/2006/relationships/hyperlink" Target="https://xbrl.efrag.org/downloads/Draft-ESRS-Set1-XBRL-Taxonomy.zip" TargetMode="External"/><Relationship Id="rId25" Type="http://schemas.openxmlformats.org/officeDocument/2006/relationships/hyperlink" Target="https://xbrl.efrag.org/downloads/Draft-Article8-XBRL-Taxonomy-Explanatory-Note-and-Basis-for-Conclusions.pdf" TargetMode="External"/><Relationship Id="rId2" Type="http://schemas.openxmlformats.org/officeDocument/2006/relationships/styles" Target="styles.xml"/><Relationship Id="rId16" Type="http://schemas.openxmlformats.org/officeDocument/2006/relationships/hyperlink" Target="https://webgate.ec.europa.eu/regdel/" TargetMode="External"/><Relationship Id="rId20" Type="http://schemas.openxmlformats.org/officeDocument/2006/relationships/hyperlink" Target="https://xbrl.efrag.org/downloads/Annex-2-Draft-ESRS-Set1-illustrative-examples-of-XBRL-reports.zi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efrag-launches-new-website-with-easy-access-to-taxonomies/" TargetMode="External"/><Relationship Id="rId11" Type="http://schemas.openxmlformats.org/officeDocument/2006/relationships/hyperlink" Target="https://survey.alchemer.eu/s3/90734358/Feedback-New-EFRAG-website" TargetMode="External"/><Relationship Id="rId24" Type="http://schemas.openxmlformats.org/officeDocument/2006/relationships/hyperlink" Target="https://xbrl.efrag.org/downloads/Draft-Article8-XBRL-Taxonomy.zip" TargetMode="External"/><Relationship Id="rId5" Type="http://schemas.openxmlformats.org/officeDocument/2006/relationships/image" Target="media/image1.jpeg"/><Relationship Id="rId15" Type="http://schemas.openxmlformats.org/officeDocument/2006/relationships/hyperlink" Target="https://www.efrag.org/en/chiara-del-prete" TargetMode="External"/><Relationship Id="rId23" Type="http://schemas.openxmlformats.org/officeDocument/2006/relationships/hyperlink" Target="https://finance.ec.europa.eu/regulation-and-supervision/financial-services-legislation/implementing-and-delegated-acts/taxonomy-regulation_en" TargetMode="External"/><Relationship Id="rId28" Type="http://schemas.openxmlformats.org/officeDocument/2006/relationships/hyperlink" Target="https://www.esma.europa.eu/issuer-disclosure/electronic-reporting" TargetMode="External"/><Relationship Id="rId10" Type="http://schemas.openxmlformats.org/officeDocument/2006/relationships/hyperlink" Target="https://www.xbrl.org/tag/efrag/" TargetMode="External"/><Relationship Id="rId19" Type="http://schemas.openxmlformats.org/officeDocument/2006/relationships/hyperlink" Target="https://xbrl.efrag.org/downloads/Annex-1-Draft-ESRS-Set1-XBRL-Taxonomy-illustrated-in-Excel.xlsx" TargetMode="External"/><Relationship Id="rId4" Type="http://schemas.openxmlformats.org/officeDocument/2006/relationships/webSettings" Target="webSettings.xml"/><Relationship Id="rId9" Type="http://schemas.openxmlformats.org/officeDocument/2006/relationships/hyperlink" Target="https://www.xbrl.org/tag/esg/" TargetMode="External"/><Relationship Id="rId14" Type="http://schemas.openxmlformats.org/officeDocument/2006/relationships/hyperlink" Target="https://www.efrag.org/en/richard-boessen" TargetMode="External"/><Relationship Id="rId22" Type="http://schemas.openxmlformats.org/officeDocument/2006/relationships/hyperlink" Target="https://www.efrag.org/en/richard-boessen" TargetMode="External"/><Relationship Id="rId27" Type="http://schemas.openxmlformats.org/officeDocument/2006/relationships/hyperlink" Target="https://xbrl.efrag.org/downloads/Annex-2-Draft-Article8-illustrative-examples-of-XBRL-reports.zip"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1297</Words>
  <Characters>7135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2024-07-30T23:34:00Z</dcterms:created>
  <dcterms:modified xsi:type="dcterms:W3CDTF">2024-08-13T03:34:00Z</dcterms:modified>
</cp:coreProperties>
</file>