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01DC" w14:textId="47102FD5" w:rsidR="00ED6ED5" w:rsidRDefault="00ED6ED5" w:rsidP="00ED6ED5">
      <w:pPr>
        <w:jc w:val="both"/>
        <w:rPr>
          <w:sz w:val="28"/>
          <w:szCs w:val="28"/>
        </w:rPr>
      </w:pPr>
      <w:r w:rsidRPr="00ED6ED5">
        <w:rPr>
          <w:sz w:val="28"/>
          <w:szCs w:val="28"/>
        </w:rPr>
        <w:t>La era digital del sector energético libera el potencial verde</w:t>
      </w:r>
    </w:p>
    <w:p w14:paraId="6EE73F8B" w14:textId="32BB3D50" w:rsidR="00ED6ED5" w:rsidRPr="00ED6ED5" w:rsidRDefault="00ED6ED5" w:rsidP="00ED6ED5">
      <w:pPr>
        <w:jc w:val="both"/>
      </w:pPr>
      <w:r w:rsidRPr="00ED6ED5">
        <w:rPr>
          <w:noProof/>
        </w:rPr>
        <w:drawing>
          <wp:inline distT="0" distB="0" distL="0" distR="0" wp14:anchorId="13B004A6" wp14:editId="6A45270B">
            <wp:extent cx="1744980" cy="1744980"/>
            <wp:effectExtent l="0" t="0" r="7620" b="7620"/>
            <wp:docPr id="2" name="Imagen 2" descr="espacio en bl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pacio en blanc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44980" cy="1744980"/>
                    </a:xfrm>
                    <a:prstGeom prst="rect">
                      <a:avLst/>
                    </a:prstGeom>
                    <a:noFill/>
                    <a:ln>
                      <a:noFill/>
                    </a:ln>
                  </pic:spPr>
                </pic:pic>
              </a:graphicData>
            </a:graphic>
          </wp:inline>
        </w:drawing>
      </w:r>
    </w:p>
    <w:p w14:paraId="387DA38B" w14:textId="32E505EB" w:rsidR="00ED6ED5" w:rsidRPr="00ED6ED5" w:rsidRDefault="00ED6ED5" w:rsidP="00ED6ED5">
      <w:pPr>
        <w:jc w:val="both"/>
      </w:pPr>
      <w:r w:rsidRPr="00ED6ED5">
        <w:t>Por</w:t>
      </w:r>
      <w:r>
        <w:t xml:space="preserve">: </w:t>
      </w:r>
      <w:hyperlink r:id="rId6" w:tooltip="Posts by Rhys Kirk, Conrad Energy" w:history="1">
        <w:r w:rsidRPr="00ED6ED5">
          <w:rPr>
            <w:rStyle w:val="Hipervnculo"/>
          </w:rPr>
          <w:t>Rhys Kirk, Conrad Energy</w:t>
        </w:r>
      </w:hyperlink>
    </w:p>
    <w:p w14:paraId="2EBE6A92" w14:textId="77777777" w:rsidR="00ED6ED5" w:rsidRPr="00ED6ED5" w:rsidRDefault="00ED6ED5" w:rsidP="00ED6ED5">
      <w:pPr>
        <w:jc w:val="both"/>
      </w:pPr>
      <w:r w:rsidRPr="00ED6ED5">
        <w:t>19 de julio de 2024</w:t>
      </w:r>
    </w:p>
    <w:p w14:paraId="5A0B3755" w14:textId="4F6D9CAC" w:rsidR="00ED6ED5" w:rsidRPr="00ED6ED5" w:rsidRDefault="00ED6ED5" w:rsidP="00ED6ED5">
      <w:pPr>
        <w:jc w:val="both"/>
        <w:rPr>
          <w:b/>
          <w:bCs/>
        </w:rPr>
      </w:pPr>
      <w:r w:rsidRPr="00ED6ED5">
        <w:rPr>
          <w:b/>
          <w:bCs/>
        </w:rPr>
        <w:t>Rhys Kirk, director de tecnología de Conrad Energy,</w:t>
      </w:r>
      <w:r w:rsidR="00872BD0">
        <w:rPr>
          <w:b/>
          <w:bCs/>
        </w:rPr>
        <w:t xml:space="preserve"> </w:t>
      </w:r>
      <w:r w:rsidRPr="00ED6ED5">
        <w:rPr>
          <w:b/>
          <w:bCs/>
        </w:rPr>
        <w:t>destaca cómo innovaciones como el hermanamiento digital y la IA están reforzando la sostenibilidad y la eficiencia.</w:t>
      </w:r>
    </w:p>
    <w:p w14:paraId="7B569EFA" w14:textId="4FBCA0FF" w:rsidR="00ED6ED5" w:rsidRPr="00ED6ED5" w:rsidRDefault="00ED6ED5" w:rsidP="00ED6ED5">
      <w:pPr>
        <w:jc w:val="both"/>
      </w:pPr>
      <w:r w:rsidRPr="00ED6ED5">
        <w:t>Históricamente, las empresas y los inversores no han asociado la industria energética con la innovación digital o tecnológica de vanguardia. Ha habido una serie de razones para esto, incluida la naturaleza regulada de la industria, lo que significa que las nuevas tecnologías, las herramientas digitales y los datos no han sido fáciles de integrar. Sin embargo, en los últimos años, hemos visto cómo las arenas se han desplazado. En parte, esto se ha debido a un enfoque cada vez mayor en la sostenibilidad y la eficiencia desd</w:t>
      </w:r>
      <w:r w:rsidR="00872BD0">
        <w:t>e</w:t>
      </w:r>
      <w:r w:rsidRPr="00ED6ED5">
        <w:t xml:space="preserve"> </w:t>
      </w:r>
      <w:hyperlink r:id="rId7" w:history="1">
        <w:r w:rsidR="00872BD0" w:rsidRPr="002A353B">
          <w:rPr>
            <w:rStyle w:val="Hipervnculo"/>
          </w:rPr>
          <w:t>https://www.esginvestor.net/energy-sectors-digital-era-unlocks-green-potential/e</w:t>
        </w:r>
      </w:hyperlink>
      <w:r w:rsidR="00872BD0">
        <w:t xml:space="preserve"> </w:t>
      </w:r>
      <w:r w:rsidRPr="00ED6ED5">
        <w:t>todas las partes:</w:t>
      </w:r>
      <w:r w:rsidR="00872BD0">
        <w:t xml:space="preserve"> </w:t>
      </w:r>
      <w:r w:rsidRPr="00ED6ED5">
        <w:t>inversor, proveedor y usuario final.</w:t>
      </w:r>
    </w:p>
    <w:p w14:paraId="451DDAA0" w14:textId="3B204967" w:rsidR="00ED6ED5" w:rsidRPr="00ED6ED5" w:rsidRDefault="00ED6ED5" w:rsidP="00ED6ED5">
      <w:pPr>
        <w:jc w:val="both"/>
      </w:pPr>
      <w:r w:rsidRPr="00ED6ED5">
        <w:t>Hoy en día, el Reino Unido tiene una alta penetración de energía renovable conectada a la red, lo que ha requerido una modernización de la forma en que opera el sector energético. A través de una combinación de deseo y necesidad, la industria energética ha comenzado a liderar desde el frente a la hora de adoptar nuevas tecnologías. En general, esto ha creado nuevas oportunidades de inversión, así como un mayor valor tanto para los propietarios de activos como para los usuarios de energía.</w:t>
      </w:r>
    </w:p>
    <w:p w14:paraId="25590511" w14:textId="5EBC9F4E" w:rsidR="00ED6ED5" w:rsidRPr="00ED6ED5" w:rsidRDefault="00ED6ED5" w:rsidP="00ED6ED5">
      <w:pPr>
        <w:jc w:val="both"/>
        <w:rPr>
          <w:b/>
          <w:bCs/>
        </w:rPr>
      </w:pPr>
      <w:r w:rsidRPr="00ED6ED5">
        <w:rPr>
          <w:b/>
          <w:bCs/>
        </w:rPr>
        <w:t>Hermanamiento digital</w:t>
      </w:r>
    </w:p>
    <w:p w14:paraId="632427F4" w14:textId="5DC73411" w:rsidR="00ED6ED5" w:rsidRPr="00ED6ED5" w:rsidRDefault="00ED6ED5" w:rsidP="00ED6ED5">
      <w:pPr>
        <w:jc w:val="both"/>
      </w:pPr>
      <w:r w:rsidRPr="00ED6ED5">
        <w:t>Una de las áreas clave en las que la industria energética ha adoptado con éxito tecnologías avanzadas en la última década es el hermanamiento digital. Como su nombre indica, la tecnología de gemelos digitales crea una réplica virtual de un activo, o incluso de una colección de activos, como un parque eólico, y muestra una gran cantidad de información, incluida la salud y el estado operativos, el rendimiento, la eficiencia y una gran cantidad de otros puntos clave de información.</w:t>
      </w:r>
    </w:p>
    <w:p w14:paraId="7D1DA01E" w14:textId="3AF3A654" w:rsidR="00ED6ED5" w:rsidRPr="00ED6ED5" w:rsidRDefault="00ED6ED5" w:rsidP="00ED6ED5">
      <w:pPr>
        <w:jc w:val="both"/>
      </w:pPr>
      <w:r w:rsidRPr="00ED6ED5">
        <w:t>La adopción generalizada del hermanamiento digital en el sector energético ha permitido a los propietarios de activos y a los intermediarios que gestionan activos en nombre del propietario identificar problemas, fallos o deterioros que deben abordarse a lo largo de la vida útil del activo.</w:t>
      </w:r>
    </w:p>
    <w:p w14:paraId="74948EFD" w14:textId="3D74CA82" w:rsidR="00ED6ED5" w:rsidRPr="00ED6ED5" w:rsidRDefault="00ED6ED5" w:rsidP="00ED6ED5">
      <w:pPr>
        <w:jc w:val="both"/>
      </w:pPr>
      <w:r w:rsidRPr="00ED6ED5">
        <w:t xml:space="preserve">También permite una planificación a largo plazo de mejor calidad para un activo: por ejemplo, las sofisticadas herramientas de hermanamiento digital permiten realizar pruebas de estrés y </w:t>
      </w:r>
      <w:r w:rsidRPr="00ED6ED5">
        <w:lastRenderedPageBreak/>
        <w:t>mantenimiento predictivo. En general, para quienes invierten en la transición energética, esta información permite un despliegue más considerado de la inversión en activos de generación de energía.</w:t>
      </w:r>
    </w:p>
    <w:p w14:paraId="023E75ED" w14:textId="69FFB0F9" w:rsidR="00ED6ED5" w:rsidRPr="00ED6ED5" w:rsidRDefault="00ED6ED5" w:rsidP="00ED6ED5">
      <w:pPr>
        <w:jc w:val="both"/>
      </w:pPr>
      <w:r w:rsidRPr="00ED6ED5">
        <w:t>Con más información sobre el rendimiento de un activo, así como una mayor visibilidad de las tendencias del lado de la demanda suministrada a través de herramientas digitales, los proveedores pueden ajustar la producción de energía de los activos para que se utilicen de la manera más eficiente posible. Esto no solo alarga la vida útil, sino que también permite al propietario del activo obtener el mayor valor por su energía en un momento dado.</w:t>
      </w:r>
    </w:p>
    <w:p w14:paraId="313EBBDF" w14:textId="334BE125" w:rsidR="00ED6ED5" w:rsidRPr="00ED6ED5" w:rsidRDefault="00ED6ED5" w:rsidP="00ED6ED5">
      <w:pPr>
        <w:jc w:val="both"/>
      </w:pPr>
      <w:r w:rsidRPr="00ED6ED5">
        <w:t>Los beneficios del hermanamiento digital para la industria energética son claros, y podría decirse que sirvió como una especie de punto de partida para que la industria energética adoptara más fácilmente soluciones digitales en sus operaciones.</w:t>
      </w:r>
    </w:p>
    <w:p w14:paraId="4EBA2B63" w14:textId="01091087" w:rsidR="00ED6ED5" w:rsidRPr="00ED6ED5" w:rsidRDefault="00ED6ED5" w:rsidP="00ED6ED5">
      <w:pPr>
        <w:jc w:val="both"/>
        <w:rPr>
          <w:b/>
          <w:bCs/>
        </w:rPr>
      </w:pPr>
      <w:r w:rsidRPr="00ED6ED5">
        <w:rPr>
          <w:b/>
          <w:bCs/>
        </w:rPr>
        <w:t>Arrojando luz sobre los "datos oscuros"</w:t>
      </w:r>
    </w:p>
    <w:p w14:paraId="571F497C" w14:textId="48D79752" w:rsidR="00ED6ED5" w:rsidRPr="00ED6ED5" w:rsidRDefault="00ED6ED5" w:rsidP="00ED6ED5">
      <w:pPr>
        <w:jc w:val="both"/>
      </w:pPr>
      <w:r w:rsidRPr="00ED6ED5">
        <w:t>El uso de herramientas de hermanamiento digital ha evolucionado más allá de mostrar el estado general de un activo desde que los pioneros comenzaron a adoptarlo en el sector energético. Estas herramientas digitales, y la información que muestran, se han vuelto cada vez más avanzadas. Como resultado, la información está empezando a cobrar valor en sí misma.</w:t>
      </w:r>
    </w:p>
    <w:p w14:paraId="6652EFB0" w14:textId="3164AD3E" w:rsidR="00ED6ED5" w:rsidRPr="00ED6ED5" w:rsidRDefault="00ED6ED5" w:rsidP="00ED6ED5">
      <w:pPr>
        <w:jc w:val="both"/>
      </w:pPr>
      <w:r w:rsidRPr="00ED6ED5">
        <w:t>Estos datos no eran fácilmente alcanzables, si es que se podían obtener, antes de que el sector energético comenzara a adoptar la tecnología con mayor facilidad, por lo que comúnmente se les conocía como "datos oscuros". Para los propietarios de activos, estos datos que salen a la luz a través de la digitalización del sector han abierto nuevas fuentes de ingresos potenciales.</w:t>
      </w:r>
    </w:p>
    <w:p w14:paraId="16C22462" w14:textId="65E1D611" w:rsidR="00ED6ED5" w:rsidRPr="00ED6ED5" w:rsidRDefault="00ED6ED5" w:rsidP="00ED6ED5">
      <w:pPr>
        <w:jc w:val="both"/>
      </w:pPr>
      <w:r w:rsidRPr="00ED6ED5">
        <w:t>Tomemos, por ejemplo, una empresa de alto consumo de energía, como un centro de datos o un fabricante. Es probable que el costo de la energía y el impacto en el medio ambiente ocupen un lugar destacado en la lista de preocupaciones de estas empresas y sus partes interesadas. Como tal, cualquier información adicional que puedan obtener sobre su uso de energía, en particular cómo podrían ajustar las operaciones para que funcionen de la manera más rentable y sostenible posible, sería muy valiosa.</w:t>
      </w:r>
    </w:p>
    <w:p w14:paraId="30FA773A" w14:textId="1E37C6AF" w:rsidR="00ED6ED5" w:rsidRPr="00ED6ED5" w:rsidRDefault="00ED6ED5" w:rsidP="00ED6ED5">
      <w:pPr>
        <w:jc w:val="both"/>
      </w:pPr>
      <w:r w:rsidRPr="00ED6ED5">
        <w:t>La digitalización ha hecho que esta información esté disponible y, de hecho, las empresas buscan comprar. La razón por la que estos datos son valiosos es que pueden ser utilizados por los propietarios de activos para maximizar su eficiencia energética y minimizar su huella de carbono. El desafío puede estar en la recopilación de datos, y este desafío irá más allá de muchos propietarios independientes de menor escala, como los propietarios de tierras que han construido granjas de baterías. Sin embargo, los proveedores que operan a mayor escala pueden trabajar con o en nombre de los propietarios de activos para recopilar estos datos y luego venderlos, lo que tiene el potencial de crear flujos de ingresos para ambos.</w:t>
      </w:r>
    </w:p>
    <w:p w14:paraId="13BCCBAF" w14:textId="644A4600" w:rsidR="00ED6ED5" w:rsidRPr="00ED6ED5" w:rsidRDefault="00ED6ED5" w:rsidP="00ED6ED5">
      <w:pPr>
        <w:jc w:val="both"/>
      </w:pPr>
      <w:r w:rsidRPr="00ED6ED5">
        <w:t>Los datos como materia prima ya son habituales en otros sectores, y ahora que el sector energético está empezando a descubrir volúmenes similares de datos a través de la digitalización, está teniendo un impacto similar y creando flujos de ingresos adicionales en toda la cadena de valor de la energía. El resultado final es que invertir en la transición energética se está convirtiendo en una oportunidad más rentable.</w:t>
      </w:r>
    </w:p>
    <w:p w14:paraId="4CDEA35C" w14:textId="77777777" w:rsidR="00ED6ED5" w:rsidRPr="00ED6ED5" w:rsidRDefault="00ED6ED5" w:rsidP="00ED6ED5">
      <w:pPr>
        <w:jc w:val="both"/>
        <w:rPr>
          <w:b/>
          <w:bCs/>
        </w:rPr>
      </w:pPr>
      <w:r w:rsidRPr="00ED6ED5">
        <w:rPr>
          <w:b/>
          <w:bCs/>
        </w:rPr>
        <w:lastRenderedPageBreak/>
        <w:t>IA: la nueva vanguardia</w:t>
      </w:r>
    </w:p>
    <w:p w14:paraId="142DCF66" w14:textId="77777777" w:rsidR="00ED6ED5" w:rsidRPr="00ED6ED5" w:rsidRDefault="00ED6ED5" w:rsidP="00ED6ED5">
      <w:pPr>
        <w:jc w:val="both"/>
      </w:pPr>
      <w:r w:rsidRPr="00ED6ED5">
        <w:t>El siguiente gran paso en la innovación digital que está en la mente de todos en todos los sectores es la inteligencia artificial (IA). Si bien el sector energético ha tardado más en adaptarse a la integración de tecnologías como el hermanamiento digital o la recopilación de datos, ha sido muy alentador ver un alto nivel de interés en cómo la IA puede revolucionar la industria energética y crear valor.</w:t>
      </w:r>
    </w:p>
    <w:p w14:paraId="3C7A40C4" w14:textId="6E2DA9D3" w:rsidR="00ED6ED5" w:rsidRPr="00ED6ED5" w:rsidRDefault="00ED6ED5" w:rsidP="00ED6ED5">
      <w:pPr>
        <w:jc w:val="both"/>
      </w:pPr>
      <w:r w:rsidRPr="00ED6ED5">
        <w:t>Las herramientas de IA más avanzadas que están desarrollando los proveedores de energía basados en la tecnología, que ahora están penetrando en el mercado, pueden crear este valor a través de la aplicación de extremo a extremo.</w:t>
      </w:r>
    </w:p>
    <w:p w14:paraId="39136855" w14:textId="691C72CD" w:rsidR="00ED6ED5" w:rsidRPr="00ED6ED5" w:rsidRDefault="00ED6ED5" w:rsidP="00ED6ED5">
      <w:pPr>
        <w:jc w:val="both"/>
      </w:pPr>
      <w:r w:rsidRPr="00ED6ED5">
        <w:t>Por ejemplo, las herramientas de IA ahora pueden llevar a cabo el análisis de ingeniería y rendimiento que hacen posible las herramientas de hermanamiento digital en segundos. Si el propietario de un activo o el proveedor que gestiona el activo necesita conocer la potencia media mensual de salida de un activo durante los últimos seis meses, la IA puede recopilar y proporcionar esta información. En general, esto significa que el mantenimiento y la gestión de los activos se hacen más rápidos y sencillos, lo que permite a los ingenieros centrarse en el trabajo de mayor valor, reduciendo los costes operativos para quienes financian la transición.</w:t>
      </w:r>
    </w:p>
    <w:p w14:paraId="38966982" w14:textId="0C7EFC88" w:rsidR="00ED6ED5" w:rsidRPr="00ED6ED5" w:rsidRDefault="00ED6ED5" w:rsidP="00ED6ED5">
      <w:pPr>
        <w:jc w:val="both"/>
      </w:pPr>
      <w:r w:rsidRPr="00ED6ED5">
        <w:t>La IA también se está integrando en la distribución de energía para optimizar los rendimientos para los propietarios de activos. Puede monitorear la demanda y la oferta, señalar a los proveedores de energía dónde ha aumentado la demanda y qué activo tendría el mejor precio para satisfacer esa demanda. En algunos casos, las herramientas de IA más avanzadas son capaces de activar automáticamente el activo óptimo para la eficiencia y el coste.</w:t>
      </w:r>
    </w:p>
    <w:p w14:paraId="7D5A77E4" w14:textId="3D5027B5" w:rsidR="00ED6ED5" w:rsidRPr="00ED6ED5" w:rsidRDefault="00ED6ED5" w:rsidP="00ED6ED5">
      <w:pPr>
        <w:jc w:val="both"/>
      </w:pPr>
      <w:r w:rsidRPr="00ED6ED5">
        <w:t>Después de haberse quedado atrás en lo que respecta a la adopción de los beneficios de la tecnología, ahora hay pocas dudas de que la industria energética se ha posicionado a la vanguardia del cambio. También está cosechando los frutos, a través de una mayor eficiencia, sacando a la luz los "datos oscuros".</w:t>
      </w:r>
    </w:p>
    <w:p w14:paraId="12B6539A" w14:textId="77777777" w:rsidR="00ED6ED5" w:rsidRPr="00ED6ED5" w:rsidRDefault="00ED6ED5" w:rsidP="00ED6ED5">
      <w:pPr>
        <w:jc w:val="both"/>
      </w:pPr>
      <w:r w:rsidRPr="00ED6ED5">
        <w:t>Dado el potencial revolucionario de la IA, podemos esperar que el ritmo del cambio se acelere aún más.</w:t>
      </w:r>
    </w:p>
    <w:p w14:paraId="28C62C3E" w14:textId="749947D8" w:rsidR="00ED6ED5" w:rsidRPr="00ED6ED5" w:rsidRDefault="00ED6ED5" w:rsidP="00ED6ED5">
      <w:pPr>
        <w:jc w:val="both"/>
      </w:pPr>
      <w:r w:rsidRPr="00ED6ED5">
        <w:t>ARTÍCULOS RELACIONADOS:</w:t>
      </w:r>
      <w:r>
        <w:t xml:space="preserve"> </w:t>
      </w:r>
      <w:hyperlink r:id="rId8" w:history="1">
        <w:r w:rsidRPr="00ED6ED5">
          <w:rPr>
            <w:rStyle w:val="Hipervnculo"/>
          </w:rPr>
          <w:t>IA,</w:t>
        </w:r>
      </w:hyperlink>
      <w:r>
        <w:t xml:space="preserve"> </w:t>
      </w:r>
      <w:hyperlink r:id="rId9" w:history="1">
        <w:r w:rsidRPr="00ED6ED5">
          <w:rPr>
            <w:rStyle w:val="Hipervnculo"/>
          </w:rPr>
          <w:t>TECNOLOGÍA CLIMÁTICA,</w:t>
        </w:r>
      </w:hyperlink>
      <w:r>
        <w:t xml:space="preserve"> </w:t>
      </w:r>
      <w:hyperlink r:id="rId10" w:history="1">
        <w:r w:rsidRPr="00ED6ED5">
          <w:rPr>
            <w:rStyle w:val="Hipervnculo"/>
          </w:rPr>
          <w:t>DATOS,</w:t>
        </w:r>
      </w:hyperlink>
      <w:r>
        <w:t xml:space="preserve"> </w:t>
      </w:r>
      <w:hyperlink r:id="rId11" w:history="1">
        <w:r w:rsidRPr="00ED6ED5">
          <w:rPr>
            <w:rStyle w:val="Hipervnculo"/>
          </w:rPr>
          <w:t>EFICIENCIA ENERGÉTICA,</w:t>
        </w:r>
      </w:hyperlink>
      <w:r w:rsidRPr="00ED6ED5">
        <w:t xml:space="preserve"> </w:t>
      </w:r>
      <w:hyperlink r:id="rId12" w:history="1">
        <w:r w:rsidRPr="00ED6ED5">
          <w:rPr>
            <w:rStyle w:val="Hipervnculo"/>
          </w:rPr>
          <w:t>SEGURIDAD ENERGÉTICA,</w:t>
        </w:r>
      </w:hyperlink>
      <w:r w:rsidRPr="00ED6ED5">
        <w:t xml:space="preserve"> </w:t>
      </w:r>
      <w:hyperlink r:id="rId13" w:history="1">
        <w:r w:rsidRPr="00ED6ED5">
          <w:rPr>
            <w:rStyle w:val="Hipervnculo"/>
          </w:rPr>
          <w:t>TECNOLOGÍA</w:t>
        </w:r>
      </w:hyperlink>
    </w:p>
    <w:p w14:paraId="7665C48D" w14:textId="77777777" w:rsidR="00571DB8" w:rsidRDefault="00571DB8" w:rsidP="00ED6ED5">
      <w:pPr>
        <w:jc w:val="both"/>
      </w:pPr>
    </w:p>
    <w:sectPr w:rsidR="00571DB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E61D6B"/>
    <w:multiLevelType w:val="multilevel"/>
    <w:tmpl w:val="ABBE2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7A325D5"/>
    <w:multiLevelType w:val="multilevel"/>
    <w:tmpl w:val="492E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ED5"/>
    <w:rsid w:val="00571DB8"/>
    <w:rsid w:val="00872BD0"/>
    <w:rsid w:val="00ED6ED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B4373"/>
  <w15:chartTrackingRefBased/>
  <w15:docId w15:val="{2B4F1D43-DF49-4277-A6EF-4F09B77C9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D6ED5"/>
    <w:rPr>
      <w:color w:val="0563C1" w:themeColor="hyperlink"/>
      <w:u w:val="single"/>
    </w:rPr>
  </w:style>
  <w:style w:type="character" w:styleId="Mencinsinresolver">
    <w:name w:val="Unresolved Mention"/>
    <w:basedOn w:val="Fuentedeprrafopredeter"/>
    <w:uiPriority w:val="99"/>
    <w:semiHidden/>
    <w:unhideWhenUsed/>
    <w:rsid w:val="00ED6E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1478">
      <w:bodyDiv w:val="1"/>
      <w:marLeft w:val="0"/>
      <w:marRight w:val="0"/>
      <w:marTop w:val="0"/>
      <w:marBottom w:val="0"/>
      <w:divBdr>
        <w:top w:val="none" w:sz="0" w:space="0" w:color="auto"/>
        <w:left w:val="none" w:sz="0" w:space="0" w:color="auto"/>
        <w:bottom w:val="none" w:sz="0" w:space="0" w:color="auto"/>
        <w:right w:val="none" w:sz="0" w:space="0" w:color="auto"/>
      </w:divBdr>
      <w:divsChild>
        <w:div w:id="153691891">
          <w:marLeft w:val="0"/>
          <w:marRight w:val="0"/>
          <w:marTop w:val="150"/>
          <w:marBottom w:val="0"/>
          <w:divBdr>
            <w:top w:val="none" w:sz="0" w:space="0" w:color="auto"/>
            <w:left w:val="none" w:sz="0" w:space="0" w:color="auto"/>
            <w:bottom w:val="none" w:sz="0" w:space="0" w:color="auto"/>
            <w:right w:val="none" w:sz="0" w:space="0" w:color="auto"/>
          </w:divBdr>
          <w:divsChild>
            <w:div w:id="1485512329">
              <w:marLeft w:val="-1050"/>
              <w:marRight w:val="0"/>
              <w:marTop w:val="0"/>
              <w:marBottom w:val="0"/>
              <w:divBdr>
                <w:top w:val="none" w:sz="0" w:space="0" w:color="auto"/>
                <w:left w:val="none" w:sz="0" w:space="0" w:color="auto"/>
                <w:bottom w:val="none" w:sz="0" w:space="0" w:color="auto"/>
                <w:right w:val="none" w:sz="0" w:space="0" w:color="auto"/>
              </w:divBdr>
              <w:divsChild>
                <w:div w:id="1278441100">
                  <w:marLeft w:val="0"/>
                  <w:marRight w:val="300"/>
                  <w:marTop w:val="0"/>
                  <w:marBottom w:val="0"/>
                  <w:divBdr>
                    <w:top w:val="none" w:sz="0" w:space="0" w:color="auto"/>
                    <w:left w:val="none" w:sz="0" w:space="0" w:color="auto"/>
                    <w:bottom w:val="none" w:sz="0" w:space="0" w:color="auto"/>
                    <w:right w:val="none" w:sz="0" w:space="0" w:color="auto"/>
                  </w:divBdr>
                </w:div>
                <w:div w:id="1389380668">
                  <w:marLeft w:val="1050"/>
                  <w:marRight w:val="0"/>
                  <w:marTop w:val="0"/>
                  <w:marBottom w:val="0"/>
                  <w:divBdr>
                    <w:top w:val="none" w:sz="0" w:space="0" w:color="auto"/>
                    <w:left w:val="none" w:sz="0" w:space="0" w:color="auto"/>
                    <w:bottom w:val="none" w:sz="0" w:space="0" w:color="auto"/>
                    <w:right w:val="none" w:sz="0" w:space="0" w:color="auto"/>
                  </w:divBdr>
                  <w:divsChild>
                    <w:div w:id="1284919304">
                      <w:marLeft w:val="0"/>
                      <w:marRight w:val="0"/>
                      <w:marTop w:val="75"/>
                      <w:marBottom w:val="0"/>
                      <w:divBdr>
                        <w:top w:val="none" w:sz="0" w:space="0" w:color="auto"/>
                        <w:left w:val="none" w:sz="0" w:space="0" w:color="auto"/>
                        <w:bottom w:val="none" w:sz="0" w:space="0" w:color="auto"/>
                        <w:right w:val="none" w:sz="0" w:space="0" w:color="auto"/>
                      </w:divBdr>
                      <w:divsChild>
                        <w:div w:id="1995982769">
                          <w:marLeft w:val="0"/>
                          <w:marRight w:val="0"/>
                          <w:marTop w:val="0"/>
                          <w:marBottom w:val="75"/>
                          <w:divBdr>
                            <w:top w:val="none" w:sz="0" w:space="0" w:color="auto"/>
                            <w:left w:val="none" w:sz="0" w:space="0" w:color="auto"/>
                            <w:bottom w:val="single" w:sz="6" w:space="4" w:color="DDDDDD"/>
                            <w:right w:val="none" w:sz="0" w:space="0" w:color="auto"/>
                          </w:divBdr>
                          <w:divsChild>
                            <w:div w:id="2040622411">
                              <w:marLeft w:val="0"/>
                              <w:marRight w:val="0"/>
                              <w:marTop w:val="0"/>
                              <w:marBottom w:val="0"/>
                              <w:divBdr>
                                <w:top w:val="none" w:sz="0" w:space="0" w:color="auto"/>
                                <w:left w:val="none" w:sz="0" w:space="0" w:color="auto"/>
                                <w:bottom w:val="none" w:sz="0" w:space="0" w:color="auto"/>
                                <w:right w:val="none" w:sz="0" w:space="0" w:color="auto"/>
                              </w:divBdr>
                            </w:div>
                          </w:divsChild>
                        </w:div>
                        <w:div w:id="202605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530673">
          <w:marLeft w:val="0"/>
          <w:marRight w:val="0"/>
          <w:marTop w:val="0"/>
          <w:marBottom w:val="0"/>
          <w:divBdr>
            <w:top w:val="none" w:sz="0" w:space="0" w:color="auto"/>
            <w:left w:val="none" w:sz="0" w:space="0" w:color="auto"/>
            <w:bottom w:val="none" w:sz="0" w:space="0" w:color="auto"/>
            <w:right w:val="none" w:sz="0" w:space="0" w:color="auto"/>
          </w:divBdr>
          <w:divsChild>
            <w:div w:id="360739525">
              <w:marLeft w:val="0"/>
              <w:marRight w:val="0"/>
              <w:marTop w:val="0"/>
              <w:marBottom w:val="0"/>
              <w:divBdr>
                <w:top w:val="none" w:sz="0" w:space="0" w:color="auto"/>
                <w:left w:val="none" w:sz="0" w:space="0" w:color="auto"/>
                <w:bottom w:val="none" w:sz="0" w:space="0" w:color="auto"/>
                <w:right w:val="none" w:sz="0" w:space="0" w:color="auto"/>
              </w:divBdr>
              <w:divsChild>
                <w:div w:id="797530696">
                  <w:marLeft w:val="0"/>
                  <w:marRight w:val="0"/>
                  <w:marTop w:val="0"/>
                  <w:marBottom w:val="0"/>
                  <w:divBdr>
                    <w:top w:val="none" w:sz="0" w:space="0" w:color="auto"/>
                    <w:left w:val="none" w:sz="0" w:space="0" w:color="auto"/>
                    <w:bottom w:val="none" w:sz="0" w:space="0" w:color="auto"/>
                    <w:right w:val="none" w:sz="0" w:space="0" w:color="auto"/>
                  </w:divBdr>
                  <w:divsChild>
                    <w:div w:id="1586299558">
                      <w:marLeft w:val="0"/>
                      <w:marRight w:val="0"/>
                      <w:marTop w:val="0"/>
                      <w:marBottom w:val="0"/>
                      <w:divBdr>
                        <w:top w:val="none" w:sz="0" w:space="0" w:color="auto"/>
                        <w:left w:val="none" w:sz="0" w:space="0" w:color="auto"/>
                        <w:bottom w:val="none" w:sz="0" w:space="0" w:color="auto"/>
                        <w:right w:val="none" w:sz="0" w:space="0" w:color="auto"/>
                      </w:divBdr>
                      <w:divsChild>
                        <w:div w:id="2059666553">
                          <w:marLeft w:val="0"/>
                          <w:marRight w:val="0"/>
                          <w:marTop w:val="375"/>
                          <w:marBottom w:val="375"/>
                          <w:divBdr>
                            <w:top w:val="none" w:sz="0" w:space="0" w:color="auto"/>
                            <w:left w:val="none" w:sz="0" w:space="0" w:color="auto"/>
                            <w:bottom w:val="none" w:sz="0" w:space="0" w:color="auto"/>
                            <w:right w:val="none" w:sz="0" w:space="0" w:color="auto"/>
                          </w:divBdr>
                          <w:divsChild>
                            <w:div w:id="545414007">
                              <w:marLeft w:val="0"/>
                              <w:marRight w:val="0"/>
                              <w:marTop w:val="0"/>
                              <w:marBottom w:val="0"/>
                              <w:divBdr>
                                <w:top w:val="none" w:sz="0" w:space="0" w:color="auto"/>
                                <w:left w:val="none" w:sz="0" w:space="0" w:color="auto"/>
                                <w:bottom w:val="none" w:sz="0" w:space="0" w:color="auto"/>
                                <w:right w:val="none" w:sz="0" w:space="0" w:color="auto"/>
                              </w:divBdr>
                            </w:div>
                          </w:divsChild>
                        </w:div>
                        <w:div w:id="55458489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349792842">
      <w:bodyDiv w:val="1"/>
      <w:marLeft w:val="0"/>
      <w:marRight w:val="0"/>
      <w:marTop w:val="0"/>
      <w:marBottom w:val="0"/>
      <w:divBdr>
        <w:top w:val="none" w:sz="0" w:space="0" w:color="auto"/>
        <w:left w:val="none" w:sz="0" w:space="0" w:color="auto"/>
        <w:bottom w:val="none" w:sz="0" w:space="0" w:color="auto"/>
        <w:right w:val="none" w:sz="0" w:space="0" w:color="auto"/>
      </w:divBdr>
      <w:divsChild>
        <w:div w:id="316688015">
          <w:marLeft w:val="0"/>
          <w:marRight w:val="0"/>
          <w:marTop w:val="150"/>
          <w:marBottom w:val="0"/>
          <w:divBdr>
            <w:top w:val="none" w:sz="0" w:space="0" w:color="auto"/>
            <w:left w:val="none" w:sz="0" w:space="0" w:color="auto"/>
            <w:bottom w:val="none" w:sz="0" w:space="0" w:color="auto"/>
            <w:right w:val="none" w:sz="0" w:space="0" w:color="auto"/>
          </w:divBdr>
          <w:divsChild>
            <w:div w:id="340737783">
              <w:marLeft w:val="-1050"/>
              <w:marRight w:val="0"/>
              <w:marTop w:val="0"/>
              <w:marBottom w:val="0"/>
              <w:divBdr>
                <w:top w:val="none" w:sz="0" w:space="0" w:color="auto"/>
                <w:left w:val="none" w:sz="0" w:space="0" w:color="auto"/>
                <w:bottom w:val="none" w:sz="0" w:space="0" w:color="auto"/>
                <w:right w:val="none" w:sz="0" w:space="0" w:color="auto"/>
              </w:divBdr>
              <w:divsChild>
                <w:div w:id="2014986843">
                  <w:marLeft w:val="0"/>
                  <w:marRight w:val="300"/>
                  <w:marTop w:val="0"/>
                  <w:marBottom w:val="0"/>
                  <w:divBdr>
                    <w:top w:val="none" w:sz="0" w:space="0" w:color="auto"/>
                    <w:left w:val="none" w:sz="0" w:space="0" w:color="auto"/>
                    <w:bottom w:val="none" w:sz="0" w:space="0" w:color="auto"/>
                    <w:right w:val="none" w:sz="0" w:space="0" w:color="auto"/>
                  </w:divBdr>
                </w:div>
                <w:div w:id="322125785">
                  <w:marLeft w:val="1050"/>
                  <w:marRight w:val="0"/>
                  <w:marTop w:val="0"/>
                  <w:marBottom w:val="0"/>
                  <w:divBdr>
                    <w:top w:val="none" w:sz="0" w:space="0" w:color="auto"/>
                    <w:left w:val="none" w:sz="0" w:space="0" w:color="auto"/>
                    <w:bottom w:val="none" w:sz="0" w:space="0" w:color="auto"/>
                    <w:right w:val="none" w:sz="0" w:space="0" w:color="auto"/>
                  </w:divBdr>
                  <w:divsChild>
                    <w:div w:id="870654015">
                      <w:marLeft w:val="0"/>
                      <w:marRight w:val="0"/>
                      <w:marTop w:val="75"/>
                      <w:marBottom w:val="0"/>
                      <w:divBdr>
                        <w:top w:val="none" w:sz="0" w:space="0" w:color="auto"/>
                        <w:left w:val="none" w:sz="0" w:space="0" w:color="auto"/>
                        <w:bottom w:val="none" w:sz="0" w:space="0" w:color="auto"/>
                        <w:right w:val="none" w:sz="0" w:space="0" w:color="auto"/>
                      </w:divBdr>
                      <w:divsChild>
                        <w:div w:id="2033608567">
                          <w:marLeft w:val="0"/>
                          <w:marRight w:val="0"/>
                          <w:marTop w:val="0"/>
                          <w:marBottom w:val="75"/>
                          <w:divBdr>
                            <w:top w:val="none" w:sz="0" w:space="0" w:color="auto"/>
                            <w:left w:val="none" w:sz="0" w:space="0" w:color="auto"/>
                            <w:bottom w:val="single" w:sz="6" w:space="4" w:color="DDDDDD"/>
                            <w:right w:val="none" w:sz="0" w:space="0" w:color="auto"/>
                          </w:divBdr>
                          <w:divsChild>
                            <w:div w:id="1154031374">
                              <w:marLeft w:val="0"/>
                              <w:marRight w:val="0"/>
                              <w:marTop w:val="0"/>
                              <w:marBottom w:val="0"/>
                              <w:divBdr>
                                <w:top w:val="none" w:sz="0" w:space="0" w:color="auto"/>
                                <w:left w:val="none" w:sz="0" w:space="0" w:color="auto"/>
                                <w:bottom w:val="none" w:sz="0" w:space="0" w:color="auto"/>
                                <w:right w:val="none" w:sz="0" w:space="0" w:color="auto"/>
                              </w:divBdr>
                            </w:div>
                          </w:divsChild>
                        </w:div>
                        <w:div w:id="184609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577215">
          <w:marLeft w:val="0"/>
          <w:marRight w:val="0"/>
          <w:marTop w:val="0"/>
          <w:marBottom w:val="0"/>
          <w:divBdr>
            <w:top w:val="none" w:sz="0" w:space="0" w:color="auto"/>
            <w:left w:val="none" w:sz="0" w:space="0" w:color="auto"/>
            <w:bottom w:val="none" w:sz="0" w:space="0" w:color="auto"/>
            <w:right w:val="none" w:sz="0" w:space="0" w:color="auto"/>
          </w:divBdr>
          <w:divsChild>
            <w:div w:id="1515027651">
              <w:marLeft w:val="0"/>
              <w:marRight w:val="0"/>
              <w:marTop w:val="0"/>
              <w:marBottom w:val="0"/>
              <w:divBdr>
                <w:top w:val="none" w:sz="0" w:space="0" w:color="auto"/>
                <w:left w:val="none" w:sz="0" w:space="0" w:color="auto"/>
                <w:bottom w:val="none" w:sz="0" w:space="0" w:color="auto"/>
                <w:right w:val="none" w:sz="0" w:space="0" w:color="auto"/>
              </w:divBdr>
              <w:divsChild>
                <w:div w:id="547686359">
                  <w:marLeft w:val="0"/>
                  <w:marRight w:val="0"/>
                  <w:marTop w:val="0"/>
                  <w:marBottom w:val="0"/>
                  <w:divBdr>
                    <w:top w:val="none" w:sz="0" w:space="0" w:color="auto"/>
                    <w:left w:val="none" w:sz="0" w:space="0" w:color="auto"/>
                    <w:bottom w:val="none" w:sz="0" w:space="0" w:color="auto"/>
                    <w:right w:val="none" w:sz="0" w:space="0" w:color="auto"/>
                  </w:divBdr>
                  <w:divsChild>
                    <w:div w:id="1982998018">
                      <w:marLeft w:val="0"/>
                      <w:marRight w:val="0"/>
                      <w:marTop w:val="0"/>
                      <w:marBottom w:val="0"/>
                      <w:divBdr>
                        <w:top w:val="none" w:sz="0" w:space="0" w:color="auto"/>
                        <w:left w:val="none" w:sz="0" w:space="0" w:color="auto"/>
                        <w:bottom w:val="none" w:sz="0" w:space="0" w:color="auto"/>
                        <w:right w:val="none" w:sz="0" w:space="0" w:color="auto"/>
                      </w:divBdr>
                      <w:divsChild>
                        <w:div w:id="464736670">
                          <w:marLeft w:val="0"/>
                          <w:marRight w:val="0"/>
                          <w:marTop w:val="375"/>
                          <w:marBottom w:val="375"/>
                          <w:divBdr>
                            <w:top w:val="none" w:sz="0" w:space="0" w:color="auto"/>
                            <w:left w:val="none" w:sz="0" w:space="0" w:color="auto"/>
                            <w:bottom w:val="none" w:sz="0" w:space="0" w:color="auto"/>
                            <w:right w:val="none" w:sz="0" w:space="0" w:color="auto"/>
                          </w:divBdr>
                          <w:divsChild>
                            <w:div w:id="1308319695">
                              <w:marLeft w:val="0"/>
                              <w:marRight w:val="0"/>
                              <w:marTop w:val="0"/>
                              <w:marBottom w:val="0"/>
                              <w:divBdr>
                                <w:top w:val="none" w:sz="0" w:space="0" w:color="auto"/>
                                <w:left w:val="none" w:sz="0" w:space="0" w:color="auto"/>
                                <w:bottom w:val="none" w:sz="0" w:space="0" w:color="auto"/>
                                <w:right w:val="none" w:sz="0" w:space="0" w:color="auto"/>
                              </w:divBdr>
                            </w:div>
                          </w:divsChild>
                        </w:div>
                        <w:div w:id="76010635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ginvestor.net/tag/ai/" TargetMode="External"/><Relationship Id="rId13" Type="http://schemas.openxmlformats.org/officeDocument/2006/relationships/hyperlink" Target="https://www.esginvestor.net/tag/technology/" TargetMode="External"/><Relationship Id="rId3" Type="http://schemas.openxmlformats.org/officeDocument/2006/relationships/settings" Target="settings.xml"/><Relationship Id="rId7" Type="http://schemas.openxmlformats.org/officeDocument/2006/relationships/hyperlink" Target="https://www.esginvestor.net/energy-sectors-digital-era-unlocks-green-potential/e" TargetMode="External"/><Relationship Id="rId12" Type="http://schemas.openxmlformats.org/officeDocument/2006/relationships/hyperlink" Target="https://www.esginvestor.net/tag/energy-secur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sginvestor.net/author/rhys-kirk/" TargetMode="External"/><Relationship Id="rId11" Type="http://schemas.openxmlformats.org/officeDocument/2006/relationships/hyperlink" Target="https://www.esginvestor.net/tag/energy-efficiency/"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esginvestor.net/tag/data/" TargetMode="External"/><Relationship Id="rId4" Type="http://schemas.openxmlformats.org/officeDocument/2006/relationships/webSettings" Target="webSettings.xml"/><Relationship Id="rId9" Type="http://schemas.openxmlformats.org/officeDocument/2006/relationships/hyperlink" Target="https://www.esginvestor.net/tag/climate-technology/"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1320</Words>
  <Characters>7260</Characters>
  <Application>Microsoft Office Word</Application>
  <DocSecurity>0</DocSecurity>
  <Lines>60</Lines>
  <Paragraphs>17</Paragraphs>
  <ScaleCrop>false</ScaleCrop>
  <Company/>
  <LinksUpToDate>false</LinksUpToDate>
  <CharactersWithSpaces>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2</cp:revision>
  <dcterms:created xsi:type="dcterms:W3CDTF">2024-07-23T16:57:00Z</dcterms:created>
  <dcterms:modified xsi:type="dcterms:W3CDTF">2024-08-20T03:11:00Z</dcterms:modified>
</cp:coreProperties>
</file>