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7D343" w14:textId="404DC8E6" w:rsidR="0090201F" w:rsidRPr="0090201F" w:rsidRDefault="0090201F" w:rsidP="0090201F">
      <w:pPr>
        <w:jc w:val="both"/>
        <w:rPr>
          <w:sz w:val="28"/>
          <w:szCs w:val="28"/>
        </w:rPr>
      </w:pPr>
      <w:r w:rsidRPr="0090201F">
        <w:rPr>
          <w:sz w:val="28"/>
          <w:szCs w:val="28"/>
        </w:rPr>
        <w:t>PSR y FCA lanzan una convocatoria conjunta de información sobre las grandes tecnológicas y las billeteras digitales</w:t>
      </w:r>
    </w:p>
    <w:p w14:paraId="4E168C7B" w14:textId="333CD529" w:rsidR="0090201F" w:rsidRPr="0090201F" w:rsidRDefault="0090201F" w:rsidP="0090201F">
      <w:pPr>
        <w:jc w:val="both"/>
      </w:pPr>
      <w:r w:rsidRPr="0090201F">
        <w:rPr>
          <w:noProof/>
        </w:rPr>
        <w:drawing>
          <wp:inline distT="0" distB="0" distL="0" distR="0" wp14:anchorId="3FCA5458" wp14:editId="27113B19">
            <wp:extent cx="5612130" cy="779780"/>
            <wp:effectExtent l="0" t="0" r="762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2130" cy="779780"/>
                    </a:xfrm>
                    <a:prstGeom prst="rect">
                      <a:avLst/>
                    </a:prstGeom>
                  </pic:spPr>
                </pic:pic>
              </a:graphicData>
            </a:graphic>
          </wp:inline>
        </w:drawing>
      </w:r>
    </w:p>
    <w:p w14:paraId="1910A961" w14:textId="07E9E1CB" w:rsidR="0090201F" w:rsidRPr="0090201F" w:rsidRDefault="0090201F" w:rsidP="0090201F">
      <w:pPr>
        <w:jc w:val="both"/>
      </w:pPr>
      <w:r w:rsidRPr="0090201F">
        <w:t>Comunicados de prensa</w:t>
      </w:r>
      <w:r w:rsidR="009221F9">
        <w:t xml:space="preserve"> </w:t>
      </w:r>
      <w:r w:rsidRPr="0090201F">
        <w:t>Primera publicación:</w:t>
      </w:r>
      <w:r w:rsidR="009221F9">
        <w:t xml:space="preserve"> </w:t>
      </w:r>
      <w:r w:rsidRPr="0090201F">
        <w:t>15/07/2024</w:t>
      </w:r>
      <w:r w:rsidR="009221F9">
        <w:t xml:space="preserve"> </w:t>
      </w:r>
      <w:r w:rsidRPr="0090201F">
        <w:t>Última actualización:</w:t>
      </w:r>
      <w:r w:rsidR="009221F9">
        <w:t xml:space="preserve"> </w:t>
      </w:r>
      <w:r w:rsidRPr="0090201F">
        <w:t>15/07/2024</w:t>
      </w:r>
    </w:p>
    <w:p w14:paraId="2F3EA144" w14:textId="77777777" w:rsidR="0090201F" w:rsidRPr="0090201F" w:rsidRDefault="0090201F" w:rsidP="0090201F">
      <w:pPr>
        <w:jc w:val="both"/>
      </w:pPr>
      <w:r w:rsidRPr="0090201F">
        <w:t>El Regulador de Sistemas de Pagos (PSR) y la Autoridad de Conducta Financiera (FCA) están buscando opiniones sobre los beneficios y riesgos que las billeteras digitales brindan a las personas y las empresas.</w:t>
      </w:r>
    </w:p>
    <w:p w14:paraId="10BD7BEE" w14:textId="77777777" w:rsidR="0090201F" w:rsidRPr="0090201F" w:rsidRDefault="0090201F" w:rsidP="0090201F">
      <w:pPr>
        <w:jc w:val="both"/>
      </w:pPr>
      <w:r w:rsidRPr="0090201F">
        <w:t>El uso de billeteras digitales ha crecido rápidamente en los últimos años, y es probable que más de la mitad de los adultos del Reino Unido ahora usen una. Con Apple Pay, Google Pay y PayPal siendo tres de las billeteras digitales más utilizadas en el Reino Unido hoy en día, las billeteras digitales se han convertido en un punto de contacto cada vez más importante entre las grandes empresas tecnológicas y los consumidores del Reino Unido.</w:t>
      </w:r>
    </w:p>
    <w:p w14:paraId="50482536" w14:textId="77777777" w:rsidR="0090201F" w:rsidRPr="0090201F" w:rsidRDefault="0090201F" w:rsidP="0090201F">
      <w:pPr>
        <w:jc w:val="both"/>
      </w:pPr>
      <w:r w:rsidRPr="0090201F">
        <w:t>Por lo tanto, los reguladores están interesados en comprender mejor el impacto que crea la creciente popularidad de las billeteras digitales en los consumidores y las empresas, que incluye:</w:t>
      </w:r>
    </w:p>
    <w:p w14:paraId="7AC87AF4" w14:textId="77777777" w:rsidR="0090201F" w:rsidRPr="0090201F" w:rsidRDefault="0090201F" w:rsidP="0090201F">
      <w:pPr>
        <w:numPr>
          <w:ilvl w:val="0"/>
          <w:numId w:val="3"/>
        </w:numPr>
        <w:jc w:val="both"/>
      </w:pPr>
      <w:r w:rsidRPr="0090201F">
        <w:t>La gama de beneficios que las billeteras digitales brindan a los usuarios del servicio</w:t>
      </w:r>
    </w:p>
    <w:p w14:paraId="7821E9E2" w14:textId="77777777" w:rsidR="0090201F" w:rsidRPr="0090201F" w:rsidRDefault="0090201F" w:rsidP="0090201F">
      <w:pPr>
        <w:numPr>
          <w:ilvl w:val="0"/>
          <w:numId w:val="3"/>
        </w:numPr>
        <w:jc w:val="both"/>
      </w:pPr>
      <w:r w:rsidRPr="0090201F">
        <w:t>si hay alguna característica que signifique que los pagos no funcionen tan bien como podrían para los consumidores y/o las empresas;</w:t>
      </w:r>
    </w:p>
    <w:p w14:paraId="48167E0F" w14:textId="77777777" w:rsidR="0090201F" w:rsidRPr="0090201F" w:rsidRDefault="0090201F" w:rsidP="0090201F">
      <w:pPr>
        <w:numPr>
          <w:ilvl w:val="0"/>
          <w:numId w:val="3"/>
        </w:numPr>
        <w:jc w:val="both"/>
      </w:pPr>
      <w:r w:rsidRPr="0090201F">
        <w:t>su papel en la liberación del potencial de los pagos de cuenta a cuenta y cómo podrían afectar a la competencia entre los sistemas de pago; y</w:t>
      </w:r>
    </w:p>
    <w:p w14:paraId="21EEE223" w14:textId="77777777" w:rsidR="0090201F" w:rsidRPr="0090201F" w:rsidRDefault="0090201F" w:rsidP="0090201F">
      <w:pPr>
        <w:numPr>
          <w:ilvl w:val="0"/>
          <w:numId w:val="3"/>
        </w:numPr>
        <w:jc w:val="both"/>
      </w:pPr>
      <w:r w:rsidRPr="0090201F">
        <w:t>si las billeteras digitales podrían plantear problemas significativos de competencia, protección del consumidor o integridad del mercado, ya sea ahora o en el futuro.</w:t>
      </w:r>
    </w:p>
    <w:p w14:paraId="646626A3" w14:textId="77777777" w:rsidR="0090201F" w:rsidRPr="0090201F" w:rsidRDefault="0090201F" w:rsidP="009221F9">
      <w:pPr>
        <w:spacing w:after="0"/>
        <w:jc w:val="both"/>
      </w:pPr>
      <w:r w:rsidRPr="0090201F">
        <w:rPr>
          <w:b/>
          <w:bCs/>
        </w:rPr>
        <w:t xml:space="preserve">David Geale, </w:t>
      </w:r>
      <w:proofErr w:type="gramStart"/>
      <w:r w:rsidRPr="0090201F">
        <w:rPr>
          <w:b/>
          <w:bCs/>
        </w:rPr>
        <w:t>Director General</w:t>
      </w:r>
      <w:proofErr w:type="gramEnd"/>
      <w:r w:rsidRPr="0090201F">
        <w:rPr>
          <w:b/>
          <w:bCs/>
        </w:rPr>
        <w:t xml:space="preserve"> de PSR, dijo</w:t>
      </w:r>
      <w:r w:rsidRPr="0090201F">
        <w:t>:</w:t>
      </w:r>
    </w:p>
    <w:p w14:paraId="3DE537D2" w14:textId="77777777" w:rsidR="0090201F" w:rsidRPr="0090201F" w:rsidRDefault="0090201F" w:rsidP="0090201F">
      <w:pPr>
        <w:jc w:val="both"/>
      </w:pPr>
      <w:r w:rsidRPr="0090201F">
        <w:t>"Las billeteras digitales se están convirtiendo constantemente en un tipo de pago y, si bien esto presenta oportunidades interesantes, también puede haber riesgos.</w:t>
      </w:r>
    </w:p>
    <w:p w14:paraId="1D9B4FC1" w14:textId="77777777" w:rsidR="0090201F" w:rsidRPr="0090201F" w:rsidRDefault="0090201F" w:rsidP="0090201F">
      <w:pPr>
        <w:jc w:val="both"/>
      </w:pPr>
      <w:r w:rsidRPr="0090201F">
        <w:t>"La colaboración entre los reguladores y el trabajo con la industria es crucial para garantizar que estemos a la vanguardia para apoyar la innovación y la competencia, asegurándonos de que todos se beneficien del acceso, la protección y la elección de los pagos.</w:t>
      </w:r>
    </w:p>
    <w:p w14:paraId="6A4F5822" w14:textId="3287CE70" w:rsidR="0090201F" w:rsidRDefault="0090201F" w:rsidP="0090201F">
      <w:pPr>
        <w:jc w:val="both"/>
      </w:pPr>
      <w:r w:rsidRPr="0090201F">
        <w:t>"Esperamos escuchar las opiniones y las pruebas de una amplia gama de partes interesadas a lo largo de este proceso".</w:t>
      </w:r>
    </w:p>
    <w:p w14:paraId="1F07602D" w14:textId="77777777" w:rsidR="009221F9" w:rsidRPr="0090201F" w:rsidRDefault="009221F9" w:rsidP="0090201F">
      <w:pPr>
        <w:jc w:val="both"/>
      </w:pPr>
    </w:p>
    <w:p w14:paraId="00F4F2F6" w14:textId="77777777" w:rsidR="0090201F" w:rsidRPr="0090201F" w:rsidRDefault="0090201F" w:rsidP="009221F9">
      <w:pPr>
        <w:spacing w:after="0"/>
        <w:jc w:val="both"/>
      </w:pPr>
      <w:r w:rsidRPr="0090201F">
        <w:rPr>
          <w:b/>
          <w:bCs/>
        </w:rPr>
        <w:t>Nikhil Rathi, director ejecutivo de la FCA, dijo</w:t>
      </w:r>
      <w:r w:rsidRPr="0090201F">
        <w:t>:</w:t>
      </w:r>
    </w:p>
    <w:p w14:paraId="50197C57" w14:textId="77777777" w:rsidR="0090201F" w:rsidRPr="0090201F" w:rsidRDefault="0090201F" w:rsidP="0090201F">
      <w:pPr>
        <w:jc w:val="both"/>
      </w:pPr>
      <w:r w:rsidRPr="0090201F">
        <w:t>"El Reino Unido está experimentando un cambio sísmico en la forma en que las personas pagan, a medida que las billeteras digitales se convierten en parte de la vida cotidiana de muchas personas.</w:t>
      </w:r>
    </w:p>
    <w:p w14:paraId="7CC3FF8D" w14:textId="77777777" w:rsidR="0090201F" w:rsidRPr="0090201F" w:rsidRDefault="0090201F" w:rsidP="0090201F">
      <w:pPr>
        <w:jc w:val="both"/>
      </w:pPr>
      <w:r w:rsidRPr="0090201F">
        <w:lastRenderedPageBreak/>
        <w:t>«Queremos asegurarnos de que podemos maximizar las oportunidades y los beneficios para los consumidores y las empresas, al tiempo que nos protegemos contra cualquier riesgo que esta tecnología pueda presentar».</w:t>
      </w:r>
    </w:p>
    <w:p w14:paraId="062FC9C0" w14:textId="247E878E" w:rsidR="0090201F" w:rsidRPr="0090201F" w:rsidRDefault="0090201F" w:rsidP="0090201F">
      <w:pPr>
        <w:jc w:val="both"/>
      </w:pPr>
      <w:r w:rsidRPr="0090201F">
        <w:t>Los reguladores analizarán todas las respuestas recibidas y proporcionarán una actualización antes del</w:t>
      </w:r>
      <w:r w:rsidR="009221F9">
        <w:t xml:space="preserve"> </w:t>
      </w:r>
      <w:r w:rsidRPr="0090201F">
        <w:rPr>
          <w:b/>
          <w:bCs/>
        </w:rPr>
        <w:t>primer trimestre de 2025</w:t>
      </w:r>
      <w:r w:rsidRPr="0090201F">
        <w:t>.</w:t>
      </w:r>
    </w:p>
    <w:p w14:paraId="725B723C" w14:textId="77777777" w:rsidR="0090201F" w:rsidRPr="0090201F" w:rsidRDefault="0090201F" w:rsidP="0090201F">
      <w:pPr>
        <w:jc w:val="both"/>
      </w:pPr>
      <w:r w:rsidRPr="0090201F">
        <w:t>Notas para los editores</w:t>
      </w:r>
    </w:p>
    <w:p w14:paraId="393A5D6F" w14:textId="5FA8165D" w:rsidR="0090201F" w:rsidRPr="0090201F" w:rsidRDefault="0090201F" w:rsidP="0090201F">
      <w:pPr>
        <w:numPr>
          <w:ilvl w:val="0"/>
          <w:numId w:val="4"/>
        </w:numPr>
        <w:jc w:val="both"/>
      </w:pPr>
      <w:r w:rsidRPr="0090201F">
        <w:t>Esta</w:t>
      </w:r>
      <w:r w:rsidR="009221F9">
        <w:t xml:space="preserve"> </w:t>
      </w:r>
      <w:hyperlink r:id="rId6" w:tooltip="Call for Information: Big tech and digital wallets" w:history="1">
        <w:r w:rsidRPr="0090201F">
          <w:rPr>
            <w:rStyle w:val="Hipervnculo"/>
          </w:rPr>
          <w:t>publicación</w:t>
        </w:r>
      </w:hyperlink>
      <w:r w:rsidR="009221F9">
        <w:t xml:space="preserve"> </w:t>
      </w:r>
      <w:r w:rsidRPr="0090201F">
        <w:t>se basa en el</w:t>
      </w:r>
      <w:r w:rsidR="009221F9">
        <w:t xml:space="preserve"> </w:t>
      </w:r>
      <w:hyperlink r:id="rId7" w:tgtFrame="_blank" w:history="1">
        <w:r w:rsidRPr="0090201F">
          <w:rPr>
            <w:rStyle w:val="Hipervnculo"/>
          </w:rPr>
          <w:t>trabajo</w:t>
        </w:r>
        <w:r w:rsidR="009221F9">
          <w:rPr>
            <w:rStyle w:val="Hipervnculo"/>
          </w:rPr>
          <w:t xml:space="preserve"> </w:t>
        </w:r>
        <w:r w:rsidRPr="0090201F">
          <w:rPr>
            <w:rStyle w:val="Hipervnculo"/>
          </w:rPr>
          <w:t>anterior de la PSR</w:t>
        </w:r>
      </w:hyperlink>
      <w:r w:rsidR="009221F9">
        <w:t xml:space="preserve"> </w:t>
      </w:r>
      <w:r w:rsidRPr="0090201F">
        <w:t>sobre los pagos móviles sin contacto y el</w:t>
      </w:r>
      <w:r w:rsidR="009221F9">
        <w:t xml:space="preserve"> </w:t>
      </w:r>
      <w:hyperlink r:id="rId8" w:tooltip="FS24/1 – Potential competition impacts from the data asymmetry between Big Tech firms and firms in financial services" w:history="1">
        <w:r w:rsidRPr="0090201F">
          <w:rPr>
            <w:rStyle w:val="Hipervnculo"/>
          </w:rPr>
          <w:t>trabajo de la FCA</w:t>
        </w:r>
      </w:hyperlink>
      <w:r w:rsidR="009221F9">
        <w:t xml:space="preserve"> </w:t>
      </w:r>
      <w:r w:rsidRPr="0090201F">
        <w:t>sobre la actividad de las grandes empresas tecnológicas en los servicios financieros.</w:t>
      </w:r>
    </w:p>
    <w:p w14:paraId="0F1F4C0F" w14:textId="77777777" w:rsidR="0090201F" w:rsidRPr="0090201F" w:rsidRDefault="0090201F" w:rsidP="0090201F">
      <w:pPr>
        <w:numPr>
          <w:ilvl w:val="0"/>
          <w:numId w:val="4"/>
        </w:numPr>
        <w:jc w:val="both"/>
      </w:pPr>
      <w:r w:rsidRPr="0090201F">
        <w:t>El PSR está particularmente interesado en comprender cómo las billeteras digitales afectan la elección de opciones de pago de los consumidores al momento de pagar. Espera obtener una mejor comprensión de las implicaciones del creciente papel de las billeteras digitales en los pagos, y las implicaciones para la competencia entre los sistemas de pago, incluido el objetivo estratégico de la PSR de desbloquear el potencial de los pagos de cuenta a cuenta.</w:t>
      </w:r>
    </w:p>
    <w:p w14:paraId="3EB5A208" w14:textId="77777777" w:rsidR="0090201F" w:rsidRPr="0090201F" w:rsidRDefault="0090201F" w:rsidP="0090201F">
      <w:pPr>
        <w:numPr>
          <w:ilvl w:val="0"/>
          <w:numId w:val="4"/>
        </w:numPr>
        <w:jc w:val="both"/>
      </w:pPr>
      <w:r w:rsidRPr="0090201F">
        <w:t>El mandato regulatorio de la FCA le da un interés particular en cuestiones como la forma en que las billeteras digitales pueden afectar la competencia en el suministro de servicios financieros y la resiliencia operativa y la seguridad sistémica del sector de servicios financieros del Reino Unido.</w:t>
      </w:r>
    </w:p>
    <w:p w14:paraId="5915EACA" w14:textId="77777777" w:rsidR="0090201F" w:rsidRPr="0090201F" w:rsidRDefault="0090201F" w:rsidP="0090201F">
      <w:pPr>
        <w:numPr>
          <w:ilvl w:val="0"/>
          <w:numId w:val="4"/>
        </w:numPr>
        <w:jc w:val="both"/>
      </w:pPr>
      <w:r w:rsidRPr="0090201F">
        <w:t>Ha habido un gran interés en este tema a nivel internacional, incluso por parte de la Comisión Europea y el Departamento de Justicia de los Estados Unidos.</w:t>
      </w:r>
    </w:p>
    <w:p w14:paraId="38DD3813" w14:textId="77777777" w:rsidR="0090201F" w:rsidRPr="0090201F" w:rsidRDefault="0090201F" w:rsidP="0090201F">
      <w:pPr>
        <w:numPr>
          <w:ilvl w:val="0"/>
          <w:numId w:val="4"/>
        </w:numPr>
        <w:jc w:val="both"/>
      </w:pPr>
      <w:r w:rsidRPr="0090201F">
        <w:t>En el Reino Unido, el Parlamento aprobó el 23 de mayo el proyecto de ley sobre mercados digitales, competencia y consumidores (DMCC). El proyecto de ley introduce reformas significativas en los regímenes de consumo, mercados digitales y competencia del Reino Unido. La Unidad de Mercados Digitales (DMU, por sus siglas en inglés) de la CMA tendrá poderes para hacer cumplir un nuevo régimen regulatorio para las empresas en los mercados digitales que tengan un "estatus de mercado estratégico". Las cuestiones que examinamos en este informe pueden ser pertinentes para la labor de la CMA. Continuaremos en estrecho contacto con la CMA sobre este tema.</w:t>
      </w:r>
    </w:p>
    <w:p w14:paraId="19BD11F0" w14:textId="77777777" w:rsidR="0090201F" w:rsidRPr="0090201F" w:rsidRDefault="0090201F" w:rsidP="0090201F">
      <w:pPr>
        <w:numPr>
          <w:ilvl w:val="0"/>
          <w:numId w:val="4"/>
        </w:numPr>
        <w:jc w:val="both"/>
      </w:pPr>
      <w:r w:rsidRPr="0090201F">
        <w:t>Esta convocatoria está abierta hasta las 17 horas del viernes 13 de septiembre. Los reguladores están interesados en escuchar a las partes interesadas en todo el panorama de pagos y servicios financieros en general, incluidos los proveedores de tecnología y billeteras digitales, así como los usuarios de sus servicios y otras partes interesadas en las billeteras digitales. Los reguladores considerarán todos los comentarios recibidos y proporcionarán una actualización antes del primer trimestre de 2025.</w:t>
      </w:r>
    </w:p>
    <w:p w14:paraId="0565E049" w14:textId="0D2EDCCE" w:rsidR="0090201F" w:rsidRPr="0090201F" w:rsidRDefault="0090201F" w:rsidP="0090201F">
      <w:pPr>
        <w:numPr>
          <w:ilvl w:val="0"/>
          <w:numId w:val="4"/>
        </w:numPr>
        <w:jc w:val="both"/>
      </w:pPr>
      <w:r w:rsidRPr="0090201F">
        <w:t>Obtenga más información</w:t>
      </w:r>
      <w:r w:rsidR="009221F9">
        <w:t xml:space="preserve"> </w:t>
      </w:r>
      <w:hyperlink r:id="rId9" w:history="1">
        <w:r w:rsidRPr="0090201F">
          <w:rPr>
            <w:rStyle w:val="Hipervnculo"/>
          </w:rPr>
          <w:t>sobre la FCA</w:t>
        </w:r>
      </w:hyperlink>
      <w:r w:rsidRPr="0090201F">
        <w:t>.</w:t>
      </w:r>
    </w:p>
    <w:p w14:paraId="3AC8BDCA" w14:textId="72A354CE" w:rsidR="00571DB8" w:rsidRDefault="0090201F" w:rsidP="0090201F">
      <w:pPr>
        <w:jc w:val="both"/>
      </w:pPr>
      <w:r w:rsidRPr="0090201F">
        <w:rPr>
          <w:noProof/>
        </w:rPr>
        <w:lastRenderedPageBreak/>
        <w:drawing>
          <wp:inline distT="0" distB="0" distL="0" distR="0" wp14:anchorId="0B5A6E1B" wp14:editId="2357995D">
            <wp:extent cx="5612130" cy="34163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416300"/>
                    </a:xfrm>
                    <a:prstGeom prst="rect">
                      <a:avLst/>
                    </a:prstGeom>
                  </pic:spPr>
                </pic:pic>
              </a:graphicData>
            </a:graphic>
          </wp:inline>
        </w:drawing>
      </w:r>
    </w:p>
    <w:p w14:paraId="7EF962BC" w14:textId="77777777" w:rsidR="0090201F" w:rsidRDefault="0090201F" w:rsidP="0090201F">
      <w:pPr>
        <w:jc w:val="both"/>
      </w:pPr>
    </w:p>
    <w:sectPr w:rsidR="009020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31BAC"/>
    <w:multiLevelType w:val="multilevel"/>
    <w:tmpl w:val="AA72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45365"/>
    <w:multiLevelType w:val="multilevel"/>
    <w:tmpl w:val="462C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3723C"/>
    <w:multiLevelType w:val="multilevel"/>
    <w:tmpl w:val="95B23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55473E"/>
    <w:multiLevelType w:val="multilevel"/>
    <w:tmpl w:val="A9FCB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1F"/>
    <w:rsid w:val="00571DB8"/>
    <w:rsid w:val="0090201F"/>
    <w:rsid w:val="009221F9"/>
    <w:rsid w:val="00B902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E00E"/>
  <w15:chartTrackingRefBased/>
  <w15:docId w15:val="{089DDABE-EA8B-4BD4-A402-922E4E92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0201F"/>
    <w:rPr>
      <w:color w:val="0563C1" w:themeColor="hyperlink"/>
      <w:u w:val="single"/>
    </w:rPr>
  </w:style>
  <w:style w:type="character" w:styleId="Mencinsinresolver">
    <w:name w:val="Unresolved Mention"/>
    <w:basedOn w:val="Fuentedeprrafopredeter"/>
    <w:uiPriority w:val="99"/>
    <w:semiHidden/>
    <w:unhideWhenUsed/>
    <w:rsid w:val="00902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670030">
      <w:bodyDiv w:val="1"/>
      <w:marLeft w:val="0"/>
      <w:marRight w:val="0"/>
      <w:marTop w:val="0"/>
      <w:marBottom w:val="0"/>
      <w:divBdr>
        <w:top w:val="none" w:sz="0" w:space="0" w:color="auto"/>
        <w:left w:val="none" w:sz="0" w:space="0" w:color="auto"/>
        <w:bottom w:val="none" w:sz="0" w:space="0" w:color="auto"/>
        <w:right w:val="none" w:sz="0" w:space="0" w:color="auto"/>
      </w:divBdr>
      <w:divsChild>
        <w:div w:id="368843652">
          <w:marLeft w:val="0"/>
          <w:marRight w:val="0"/>
          <w:marTop w:val="0"/>
          <w:marBottom w:val="0"/>
          <w:divBdr>
            <w:top w:val="none" w:sz="0" w:space="0" w:color="auto"/>
            <w:left w:val="none" w:sz="0" w:space="0" w:color="auto"/>
            <w:bottom w:val="none" w:sz="0" w:space="0" w:color="auto"/>
            <w:right w:val="none" w:sz="0" w:space="0" w:color="auto"/>
          </w:divBdr>
          <w:divsChild>
            <w:div w:id="198665467">
              <w:marLeft w:val="0"/>
              <w:marRight w:val="0"/>
              <w:marTop w:val="0"/>
              <w:marBottom w:val="0"/>
              <w:divBdr>
                <w:top w:val="none" w:sz="0" w:space="0" w:color="auto"/>
                <w:left w:val="none" w:sz="0" w:space="0" w:color="auto"/>
                <w:bottom w:val="none" w:sz="0" w:space="0" w:color="auto"/>
                <w:right w:val="none" w:sz="0" w:space="0" w:color="auto"/>
              </w:divBdr>
              <w:divsChild>
                <w:div w:id="192079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69690">
          <w:marLeft w:val="0"/>
          <w:marRight w:val="0"/>
          <w:marTop w:val="0"/>
          <w:marBottom w:val="0"/>
          <w:divBdr>
            <w:top w:val="none" w:sz="0" w:space="0" w:color="auto"/>
            <w:left w:val="none" w:sz="0" w:space="0" w:color="auto"/>
            <w:bottom w:val="none" w:sz="0" w:space="0" w:color="auto"/>
            <w:right w:val="none" w:sz="0" w:space="0" w:color="auto"/>
          </w:divBdr>
          <w:divsChild>
            <w:div w:id="976958406">
              <w:marLeft w:val="0"/>
              <w:marRight w:val="0"/>
              <w:marTop w:val="0"/>
              <w:marBottom w:val="0"/>
              <w:divBdr>
                <w:top w:val="none" w:sz="0" w:space="0" w:color="auto"/>
                <w:left w:val="none" w:sz="0" w:space="0" w:color="auto"/>
                <w:bottom w:val="none" w:sz="0" w:space="0" w:color="auto"/>
                <w:right w:val="none" w:sz="0" w:space="0" w:color="auto"/>
              </w:divBdr>
              <w:divsChild>
                <w:div w:id="2129467435">
                  <w:marLeft w:val="0"/>
                  <w:marRight w:val="0"/>
                  <w:marTop w:val="0"/>
                  <w:marBottom w:val="0"/>
                  <w:divBdr>
                    <w:top w:val="none" w:sz="0" w:space="0" w:color="auto"/>
                    <w:left w:val="none" w:sz="0" w:space="0" w:color="auto"/>
                    <w:bottom w:val="none" w:sz="0" w:space="0" w:color="auto"/>
                    <w:right w:val="none" w:sz="0" w:space="0" w:color="auto"/>
                  </w:divBdr>
                  <w:divsChild>
                    <w:div w:id="531650023">
                      <w:marLeft w:val="0"/>
                      <w:marRight w:val="0"/>
                      <w:marTop w:val="0"/>
                      <w:marBottom w:val="0"/>
                      <w:divBdr>
                        <w:top w:val="none" w:sz="0" w:space="0" w:color="auto"/>
                        <w:left w:val="none" w:sz="0" w:space="0" w:color="auto"/>
                        <w:bottom w:val="none" w:sz="0" w:space="0" w:color="auto"/>
                        <w:right w:val="none" w:sz="0" w:space="0" w:color="auto"/>
                      </w:divBdr>
                    </w:div>
                    <w:div w:id="211635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264906">
      <w:bodyDiv w:val="1"/>
      <w:marLeft w:val="0"/>
      <w:marRight w:val="0"/>
      <w:marTop w:val="0"/>
      <w:marBottom w:val="0"/>
      <w:divBdr>
        <w:top w:val="none" w:sz="0" w:space="0" w:color="auto"/>
        <w:left w:val="none" w:sz="0" w:space="0" w:color="auto"/>
        <w:bottom w:val="none" w:sz="0" w:space="0" w:color="auto"/>
        <w:right w:val="none" w:sz="0" w:space="0" w:color="auto"/>
      </w:divBdr>
      <w:divsChild>
        <w:div w:id="998460593">
          <w:marLeft w:val="0"/>
          <w:marRight w:val="0"/>
          <w:marTop w:val="0"/>
          <w:marBottom w:val="0"/>
          <w:divBdr>
            <w:top w:val="none" w:sz="0" w:space="0" w:color="auto"/>
            <w:left w:val="none" w:sz="0" w:space="0" w:color="auto"/>
            <w:bottom w:val="none" w:sz="0" w:space="0" w:color="auto"/>
            <w:right w:val="none" w:sz="0" w:space="0" w:color="auto"/>
          </w:divBdr>
          <w:divsChild>
            <w:div w:id="934478733">
              <w:marLeft w:val="0"/>
              <w:marRight w:val="0"/>
              <w:marTop w:val="0"/>
              <w:marBottom w:val="0"/>
              <w:divBdr>
                <w:top w:val="none" w:sz="0" w:space="0" w:color="auto"/>
                <w:left w:val="none" w:sz="0" w:space="0" w:color="auto"/>
                <w:bottom w:val="none" w:sz="0" w:space="0" w:color="auto"/>
                <w:right w:val="none" w:sz="0" w:space="0" w:color="auto"/>
              </w:divBdr>
              <w:divsChild>
                <w:div w:id="15874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04006">
          <w:marLeft w:val="0"/>
          <w:marRight w:val="0"/>
          <w:marTop w:val="0"/>
          <w:marBottom w:val="0"/>
          <w:divBdr>
            <w:top w:val="none" w:sz="0" w:space="0" w:color="auto"/>
            <w:left w:val="none" w:sz="0" w:space="0" w:color="auto"/>
            <w:bottom w:val="none" w:sz="0" w:space="0" w:color="auto"/>
            <w:right w:val="none" w:sz="0" w:space="0" w:color="auto"/>
          </w:divBdr>
          <w:divsChild>
            <w:div w:id="895971123">
              <w:marLeft w:val="0"/>
              <w:marRight w:val="0"/>
              <w:marTop w:val="0"/>
              <w:marBottom w:val="0"/>
              <w:divBdr>
                <w:top w:val="none" w:sz="0" w:space="0" w:color="auto"/>
                <w:left w:val="none" w:sz="0" w:space="0" w:color="auto"/>
                <w:bottom w:val="none" w:sz="0" w:space="0" w:color="auto"/>
                <w:right w:val="none" w:sz="0" w:space="0" w:color="auto"/>
              </w:divBdr>
              <w:divsChild>
                <w:div w:id="1410804497">
                  <w:marLeft w:val="0"/>
                  <w:marRight w:val="0"/>
                  <w:marTop w:val="0"/>
                  <w:marBottom w:val="0"/>
                  <w:divBdr>
                    <w:top w:val="none" w:sz="0" w:space="0" w:color="auto"/>
                    <w:left w:val="none" w:sz="0" w:space="0" w:color="auto"/>
                    <w:bottom w:val="none" w:sz="0" w:space="0" w:color="auto"/>
                    <w:right w:val="none" w:sz="0" w:space="0" w:color="auto"/>
                  </w:divBdr>
                  <w:divsChild>
                    <w:div w:id="1177571408">
                      <w:marLeft w:val="0"/>
                      <w:marRight w:val="0"/>
                      <w:marTop w:val="0"/>
                      <w:marBottom w:val="0"/>
                      <w:divBdr>
                        <w:top w:val="none" w:sz="0" w:space="0" w:color="auto"/>
                        <w:left w:val="none" w:sz="0" w:space="0" w:color="auto"/>
                        <w:bottom w:val="none" w:sz="0" w:space="0" w:color="auto"/>
                        <w:right w:val="none" w:sz="0" w:space="0" w:color="auto"/>
                      </w:divBdr>
                    </w:div>
                    <w:div w:id="205075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ca.org.uk/publications/feedback-statements/fs24-1-potential-competition-impacts-data-asymmetry-big-tech-firms-and-firms-financial-services" TargetMode="External"/><Relationship Id="rId3" Type="http://schemas.openxmlformats.org/officeDocument/2006/relationships/settings" Target="settings.xml"/><Relationship Id="rId7" Type="http://schemas.openxmlformats.org/officeDocument/2006/relationships/hyperlink" Target="https://www.psr.org.uk/publications/policy-statements/contactless-mobile-payments-our-repo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ca.org.uk/publications/calls-input/call-information-big-tech-and-digital-wallet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fca.org.uk/about-us-previou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880</Words>
  <Characters>4844</Characters>
  <Application>Microsoft Office Word</Application>
  <DocSecurity>0</DocSecurity>
  <Lines>40</Lines>
  <Paragraphs>11</Paragraphs>
  <ScaleCrop>false</ScaleCrop>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3</cp:revision>
  <dcterms:created xsi:type="dcterms:W3CDTF">2024-07-23T16:53:00Z</dcterms:created>
  <dcterms:modified xsi:type="dcterms:W3CDTF">2024-08-06T02:39:00Z</dcterms:modified>
</cp:coreProperties>
</file>