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E2418" w14:textId="6E4AA87D" w:rsidR="009A1066" w:rsidRPr="002247D8" w:rsidRDefault="009A1066" w:rsidP="009A1066">
      <w:pPr>
        <w:jc w:val="both"/>
        <w:rPr>
          <w:rFonts w:ascii="Arial Nova Cond" w:hAnsi="Arial Nova Cond"/>
          <w:sz w:val="24"/>
          <w:szCs w:val="24"/>
        </w:rPr>
      </w:pPr>
      <w:r w:rsidRPr="009A1066">
        <w:rPr>
          <w:rFonts w:ascii="Arial Nova Cond" w:hAnsi="Arial Nova Cond"/>
          <w:sz w:val="24"/>
          <w:szCs w:val="24"/>
        </w:rPr>
        <w:t>TNFD y EFRAG publican un mapa de correspondencia que mejora la información relacionada con la naturaleza</w:t>
      </w:r>
    </w:p>
    <w:p w14:paraId="25CB58DC" w14:textId="71E9751D" w:rsidR="009A1066" w:rsidRPr="009A1066" w:rsidRDefault="009A1066" w:rsidP="009A1066">
      <w:pPr>
        <w:jc w:val="both"/>
      </w:pPr>
      <w:r w:rsidRPr="009A1066">
        <w:rPr>
          <w:noProof/>
        </w:rPr>
        <w:drawing>
          <wp:inline distT="0" distB="0" distL="0" distR="0" wp14:anchorId="07139880" wp14:editId="68B7E56D">
            <wp:extent cx="5612130" cy="4207510"/>
            <wp:effectExtent l="0" t="0" r="762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4207510"/>
                    </a:xfrm>
                    <a:prstGeom prst="rect">
                      <a:avLst/>
                    </a:prstGeom>
                    <a:noFill/>
                    <a:ln>
                      <a:noFill/>
                    </a:ln>
                  </pic:spPr>
                </pic:pic>
              </a:graphicData>
            </a:graphic>
          </wp:inline>
        </w:drawing>
      </w:r>
    </w:p>
    <w:p w14:paraId="055CEC9C" w14:textId="77777777" w:rsidR="00455B9A" w:rsidRPr="009A1066" w:rsidRDefault="00455B9A" w:rsidP="00455B9A">
      <w:pPr>
        <w:jc w:val="both"/>
      </w:pPr>
      <w:r w:rsidRPr="009A1066">
        <w:t>Publicado el 28 de junio de 2024 po</w:t>
      </w:r>
      <w:r>
        <w:t xml:space="preserve">r </w:t>
      </w:r>
      <w:hyperlink r:id="rId5" w:history="1">
        <w:r w:rsidRPr="009A1066">
          <w:rPr>
            <w:rStyle w:val="Hipervnculo"/>
            <w:b/>
            <w:bCs/>
          </w:rPr>
          <w:t>Editor</w:t>
        </w:r>
      </w:hyperlink>
    </w:p>
    <w:p w14:paraId="051CAC9E" w14:textId="24A5FC29" w:rsidR="009A1066" w:rsidRPr="009A1066" w:rsidRDefault="009A1066" w:rsidP="009A1066">
      <w:pPr>
        <w:jc w:val="both"/>
      </w:pPr>
      <w:r w:rsidRPr="009A1066">
        <w:t>El Grupo de Trabajo sobre Divulgaciones Financieras Relacionadas con la Naturaleza (TNFD) y el Grupo Asesor Europeo de Información Financiera (EFRAG) publicaron recientemente un mapa de correspondencia entre las Normas Europeas de Información sobre Sostenibilidad (ESRS) y las divulgaciones recomendadas por el TNFD.</w:t>
      </w:r>
      <w:r w:rsidR="002247D8">
        <w:t xml:space="preserve"> </w:t>
      </w:r>
      <w:r w:rsidRPr="009A1066">
        <w:t>Este mapeo resalta la amplia alineación entre los dos marcos, con las 14 divulgaciones recomendadas por TNFD reflejadas en el ESRS.</w:t>
      </w:r>
    </w:p>
    <w:p w14:paraId="3816E1D2" w14:textId="77777777" w:rsidR="009A1066" w:rsidRPr="009A1066" w:rsidRDefault="009A1066" w:rsidP="009A1066">
      <w:pPr>
        <w:jc w:val="both"/>
      </w:pPr>
      <w:r w:rsidRPr="009A1066">
        <w:t>Este mapeo integral tiene como objetivo ayudar a las empresas de todo el mundo a comprender los puntos en común entre el ESRS y el TNFD. Ofrece una comparación detallada de las divulgaciones y las métricas básicas recomendadas por el TNFD y las requeridas por el ESRS, lo que facilita la alineación de las empresas europeas con la Directiva sobre informes de sostenibilidad corporativa (CSRD).</w:t>
      </w:r>
    </w:p>
    <w:p w14:paraId="60E20682" w14:textId="77777777" w:rsidR="009A1066" w:rsidRPr="009A1066" w:rsidRDefault="009A1066" w:rsidP="009A1066">
      <w:pPr>
        <w:jc w:val="both"/>
      </w:pPr>
      <w:r w:rsidRPr="009A1066">
        <w:t>La colaboración entre el EFRAG y el TNFD se ha prolongado durante más de dos años, buscando la coherencia en las normas ambientales. El ESRS, publicado como acto delegado en julio de 2023, y las recomendaciones del TNFD, publicadas en septiembre de 2023, se han beneficiado de este esfuerzo conjunto.</w:t>
      </w:r>
    </w:p>
    <w:p w14:paraId="5A20A588" w14:textId="77777777" w:rsidR="009A1066" w:rsidRPr="009A1066" w:rsidRDefault="009A1066" w:rsidP="009A1066">
      <w:pPr>
        <w:jc w:val="both"/>
      </w:pPr>
      <w:r w:rsidRPr="009A1066">
        <w:lastRenderedPageBreak/>
        <w:t>Los aspectos clave de este mapeo incluyen la alineación de conceptos y definiciones, un enfoque compartido de la materialidad y la integración del enfoque LEAP del TNFD en el ESRS. Ambos marcos también organizan sus divulgaciones en torno a los cuatro pilares del Grupo de Trabajo sobre Divulgación Financiera Relacionada con el Clima (TCFD): gobernanza, estrategia, gestión de riesgos y métricas y objetivos.</w:t>
      </w:r>
    </w:p>
    <w:p w14:paraId="317B395C" w14:textId="5378FFD2" w:rsidR="009A1066" w:rsidRPr="009A1066" w:rsidRDefault="009A1066" w:rsidP="009A1066">
      <w:pPr>
        <w:jc w:val="both"/>
      </w:pPr>
      <w:r w:rsidRPr="009A1066">
        <w:t>Para obtener información más detallada, acceda al mapeo de correspondencia TNFD-ESRS</w:t>
      </w:r>
      <w:r w:rsidR="00F42AAF">
        <w:t xml:space="preserve"> </w:t>
      </w:r>
      <w:hyperlink r:id="rId6" w:tgtFrame="_blank" w:history="1">
        <w:r w:rsidRPr="009A1066">
          <w:rPr>
            <w:rStyle w:val="Hipervnculo"/>
          </w:rPr>
          <w:t>aquí</w:t>
        </w:r>
      </w:hyperlink>
      <w:r w:rsidRPr="009A1066">
        <w:t>.</w:t>
      </w:r>
    </w:p>
    <w:p w14:paraId="5F5447ED" w14:textId="7843081C" w:rsidR="009A1066" w:rsidRPr="009A1066" w:rsidRDefault="00455B9A" w:rsidP="009A1066">
      <w:pPr>
        <w:jc w:val="both"/>
      </w:pPr>
      <w:hyperlink r:id="rId7" w:history="1">
        <w:r w:rsidR="009A1066" w:rsidRPr="009A1066">
          <w:rPr>
            <w:rStyle w:val="Hipervnculo"/>
          </w:rPr>
          <w:t>ALINEACIÓN</w:t>
        </w:r>
        <w:r w:rsidR="00F42AAF">
          <w:rPr>
            <w:rStyle w:val="Hipervnculo"/>
          </w:rPr>
          <w:t xml:space="preserve"> </w:t>
        </w:r>
      </w:hyperlink>
      <w:hyperlink r:id="rId8" w:history="1">
        <w:r w:rsidR="009A1066" w:rsidRPr="009A1066">
          <w:rPr>
            <w:rStyle w:val="Hipervnculo"/>
          </w:rPr>
          <w:t>EFRAG</w:t>
        </w:r>
        <w:r w:rsidR="00F42AAF">
          <w:rPr>
            <w:rStyle w:val="Hipervnculo"/>
          </w:rPr>
          <w:t xml:space="preserve"> </w:t>
        </w:r>
      </w:hyperlink>
      <w:hyperlink r:id="rId9" w:history="1">
        <w:r w:rsidR="009A1066" w:rsidRPr="009A1066">
          <w:rPr>
            <w:rStyle w:val="Hipervnculo"/>
          </w:rPr>
          <w:t>ESRS</w:t>
        </w:r>
        <w:r w:rsidR="00F42AAF">
          <w:rPr>
            <w:rStyle w:val="Hipervnculo"/>
          </w:rPr>
          <w:t xml:space="preserve"> </w:t>
        </w:r>
      </w:hyperlink>
      <w:hyperlink r:id="rId10" w:history="1">
        <w:r w:rsidR="009A1066" w:rsidRPr="009A1066">
          <w:rPr>
            <w:rStyle w:val="Hipervnculo"/>
          </w:rPr>
          <w:t>SOSTENIBILIDAD</w:t>
        </w:r>
        <w:r w:rsidR="00F42AAF">
          <w:rPr>
            <w:rStyle w:val="Hipervnculo"/>
          </w:rPr>
          <w:t xml:space="preserve"> </w:t>
        </w:r>
      </w:hyperlink>
      <w:hyperlink r:id="rId11" w:history="1">
        <w:r w:rsidR="009A1066" w:rsidRPr="009A1066">
          <w:rPr>
            <w:rStyle w:val="Hipervnculo"/>
          </w:rPr>
          <w:t>TNFD</w:t>
        </w:r>
      </w:hyperlink>
    </w:p>
    <w:p w14:paraId="3F583035" w14:textId="62E99B4B" w:rsidR="009A1066" w:rsidRPr="009A1066" w:rsidRDefault="009A1066" w:rsidP="009A1066">
      <w:pPr>
        <w:jc w:val="both"/>
      </w:pPr>
    </w:p>
    <w:p w14:paraId="34443317" w14:textId="45F2BBDB" w:rsidR="00D53950" w:rsidRDefault="00D53950" w:rsidP="00206E52">
      <w:pPr>
        <w:jc w:val="both"/>
      </w:pPr>
    </w:p>
    <w:p w14:paraId="0C1D8F8A" w14:textId="6518567B" w:rsidR="00206E52" w:rsidRDefault="00206E52" w:rsidP="00206E52">
      <w:pPr>
        <w:jc w:val="both"/>
      </w:pPr>
    </w:p>
    <w:p w14:paraId="71BA931C" w14:textId="1DAA7EA1" w:rsidR="00206E52" w:rsidRDefault="00206E52" w:rsidP="00206E52">
      <w:pPr>
        <w:jc w:val="both"/>
      </w:pPr>
    </w:p>
    <w:p w14:paraId="30C897DE" w14:textId="1A76EE07" w:rsidR="00206E52" w:rsidRDefault="00206E52" w:rsidP="00206E52">
      <w:pPr>
        <w:jc w:val="both"/>
      </w:pPr>
    </w:p>
    <w:p w14:paraId="5F9635DE" w14:textId="209D6FC0" w:rsidR="00206E52" w:rsidRDefault="00206E52" w:rsidP="00206E52">
      <w:pPr>
        <w:jc w:val="both"/>
      </w:pPr>
    </w:p>
    <w:p w14:paraId="52D4D404" w14:textId="49D6914B" w:rsidR="00206E52" w:rsidRDefault="00206E52" w:rsidP="00206E52">
      <w:pPr>
        <w:jc w:val="both"/>
      </w:pPr>
    </w:p>
    <w:p w14:paraId="4790BD0B" w14:textId="36F770F3" w:rsidR="00206E52" w:rsidRDefault="00206E52" w:rsidP="00206E52">
      <w:pPr>
        <w:jc w:val="both"/>
      </w:pPr>
    </w:p>
    <w:p w14:paraId="4DB4F8E9" w14:textId="32BDEC4B" w:rsidR="002247D8" w:rsidRDefault="002247D8" w:rsidP="00206E52">
      <w:pPr>
        <w:jc w:val="both"/>
      </w:pPr>
    </w:p>
    <w:p w14:paraId="3B1ED76E" w14:textId="293B7D2A" w:rsidR="002247D8" w:rsidRDefault="002247D8" w:rsidP="00206E52">
      <w:pPr>
        <w:jc w:val="both"/>
      </w:pPr>
    </w:p>
    <w:p w14:paraId="6A3D84CE" w14:textId="551CB6CA" w:rsidR="002247D8" w:rsidRDefault="002247D8" w:rsidP="00206E52">
      <w:pPr>
        <w:jc w:val="both"/>
      </w:pPr>
    </w:p>
    <w:p w14:paraId="499D490F" w14:textId="3208B0F2" w:rsidR="002247D8" w:rsidRDefault="002247D8" w:rsidP="00206E52">
      <w:pPr>
        <w:jc w:val="both"/>
      </w:pPr>
    </w:p>
    <w:p w14:paraId="12790E5B" w14:textId="492875C0" w:rsidR="002247D8" w:rsidRDefault="002247D8" w:rsidP="00206E52">
      <w:pPr>
        <w:jc w:val="both"/>
      </w:pPr>
    </w:p>
    <w:p w14:paraId="303A2589" w14:textId="41BEC9FE" w:rsidR="002247D8" w:rsidRDefault="002247D8" w:rsidP="00206E52">
      <w:pPr>
        <w:jc w:val="both"/>
      </w:pPr>
    </w:p>
    <w:p w14:paraId="4F57EB37" w14:textId="7AE783EE" w:rsidR="002247D8" w:rsidRDefault="002247D8" w:rsidP="00206E52">
      <w:pPr>
        <w:jc w:val="both"/>
      </w:pPr>
    </w:p>
    <w:p w14:paraId="1EBD3155" w14:textId="5B1A44B2" w:rsidR="002247D8" w:rsidRDefault="002247D8" w:rsidP="00206E52">
      <w:pPr>
        <w:jc w:val="both"/>
      </w:pPr>
    </w:p>
    <w:p w14:paraId="19CA510F" w14:textId="0194719D" w:rsidR="002247D8" w:rsidRDefault="002247D8" w:rsidP="00206E52">
      <w:pPr>
        <w:jc w:val="both"/>
      </w:pPr>
    </w:p>
    <w:p w14:paraId="36D73A40" w14:textId="79E27526" w:rsidR="002247D8" w:rsidRDefault="002247D8" w:rsidP="00206E52">
      <w:pPr>
        <w:jc w:val="both"/>
      </w:pPr>
    </w:p>
    <w:p w14:paraId="7FB53E8B" w14:textId="672D518E" w:rsidR="002247D8" w:rsidRDefault="002247D8" w:rsidP="00206E52">
      <w:pPr>
        <w:jc w:val="both"/>
      </w:pPr>
    </w:p>
    <w:p w14:paraId="509EA68D" w14:textId="716853A0" w:rsidR="002247D8" w:rsidRDefault="002247D8" w:rsidP="00206E52">
      <w:pPr>
        <w:jc w:val="both"/>
      </w:pPr>
    </w:p>
    <w:p w14:paraId="4A5D0A40" w14:textId="77777777" w:rsidR="002247D8" w:rsidRDefault="002247D8" w:rsidP="00206E52">
      <w:pPr>
        <w:jc w:val="both"/>
      </w:pPr>
    </w:p>
    <w:p w14:paraId="23D1DE6D" w14:textId="454ECCF8" w:rsidR="00206E52" w:rsidRDefault="00206E52" w:rsidP="00206E52">
      <w:pPr>
        <w:jc w:val="both"/>
      </w:pPr>
    </w:p>
    <w:p w14:paraId="7B1A29F8" w14:textId="79A3647F" w:rsidR="00206E52" w:rsidRDefault="009A1066" w:rsidP="00206E52">
      <w:pPr>
        <w:jc w:val="both"/>
      </w:pPr>
      <w:r w:rsidRPr="009A1066">
        <w:rPr>
          <w:noProof/>
        </w:rPr>
        <w:lastRenderedPageBreak/>
        <w:drawing>
          <wp:inline distT="0" distB="0" distL="0" distR="0" wp14:anchorId="0C535C91" wp14:editId="336A990E">
            <wp:extent cx="5612130" cy="603250"/>
            <wp:effectExtent l="0" t="0" r="762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603250"/>
                    </a:xfrm>
                    <a:prstGeom prst="rect">
                      <a:avLst/>
                    </a:prstGeom>
                  </pic:spPr>
                </pic:pic>
              </a:graphicData>
            </a:graphic>
          </wp:inline>
        </w:drawing>
      </w:r>
    </w:p>
    <w:p w14:paraId="60C0B9BE" w14:textId="77777777" w:rsidR="00206E52" w:rsidRPr="00206E52" w:rsidRDefault="00206E52" w:rsidP="00206E52">
      <w:pPr>
        <w:jc w:val="both"/>
        <w:rPr>
          <w:rFonts w:ascii="Arial Nova Cond" w:hAnsi="Arial Nova Cond"/>
        </w:rPr>
      </w:pPr>
      <w:r w:rsidRPr="00206E52">
        <w:rPr>
          <w:rFonts w:ascii="Arial Nova Cond" w:hAnsi="Arial Nova Cond"/>
        </w:rPr>
        <w:t>20/06/2024 - TNFD Y EFRAG PUBLICAN EL MAPEO DE CORRESPONDENCIA</w:t>
      </w:r>
    </w:p>
    <w:p w14:paraId="5CA296B2" w14:textId="44E8DC77" w:rsidR="00206E52" w:rsidRPr="00206E52" w:rsidRDefault="00206E52" w:rsidP="00206E52">
      <w:pPr>
        <w:jc w:val="both"/>
        <w:rPr>
          <w:rFonts w:ascii="Arial Nova Cond" w:hAnsi="Arial Nova Cond"/>
        </w:rPr>
      </w:pPr>
      <w:r w:rsidRPr="00206E52">
        <w:rPr>
          <w:rFonts w:ascii="Arial Nova Cond" w:hAnsi="Arial Nova Cond"/>
        </w:rPr>
        <w:t>El Grupo de Trabajo sobre Divulgación Financiera Relacionada con la Naturaleza (TNFD, por sus siglas en inglés) y el EFRAG han publicado conjuntamente un</w:t>
      </w:r>
      <w:r w:rsidR="00F42AAF">
        <w:rPr>
          <w:rFonts w:ascii="Arial Nova Cond" w:hAnsi="Arial Nova Cond"/>
        </w:rPr>
        <w:t xml:space="preserve"> </w:t>
      </w:r>
      <w:hyperlink r:id="rId13" w:history="1">
        <w:r w:rsidRPr="00206E52">
          <w:rPr>
            <w:rStyle w:val="Hipervnculo"/>
            <w:rFonts w:ascii="Arial Nova Cond" w:hAnsi="Arial Nova Cond"/>
          </w:rPr>
          <w:t>mapa</w:t>
        </w:r>
      </w:hyperlink>
      <w:r w:rsidR="00F42AAF">
        <w:rPr>
          <w:rFonts w:ascii="Arial Nova Cond" w:hAnsi="Arial Nova Cond"/>
        </w:rPr>
        <w:t xml:space="preserve"> </w:t>
      </w:r>
      <w:r w:rsidRPr="00206E52">
        <w:rPr>
          <w:rFonts w:ascii="Arial Nova Cond" w:hAnsi="Arial Nova Cond"/>
        </w:rPr>
        <w:t>de la correspondencia entre las Normas Europeas de Información sobre Sostenibilidad (ESRS, por sus siglas en inglés) y las divulgaciones y métricas recomendadas por el TNFD, lo que ilustra el alto nivel de coincidencia alcanzado. Esta evaluación destaca que las 14 divulgaciones recomendadas por el TNFD se reflejan en las ESRS.</w:t>
      </w:r>
    </w:p>
    <w:p w14:paraId="647C2159" w14:textId="3C941FE2" w:rsidR="00206E52" w:rsidRPr="00206E52" w:rsidRDefault="00455B9A" w:rsidP="00206E52">
      <w:pPr>
        <w:jc w:val="both"/>
      </w:pPr>
      <w:hyperlink r:id="rId14" w:history="1">
        <w:r w:rsidR="00206E52" w:rsidRPr="00206E52">
          <w:rPr>
            <w:rStyle w:val="Hipervnculo"/>
          </w:rPr>
          <w:t>Acceda al mapeo de correspondencia</w:t>
        </w:r>
      </w:hyperlink>
      <w:r w:rsidR="00F42AAF">
        <w:t xml:space="preserve"> </w:t>
      </w:r>
      <w:r w:rsidR="00206E52" w:rsidRPr="00206E52">
        <w:t>TNFD-ESRS.</w:t>
      </w:r>
    </w:p>
    <w:p w14:paraId="091848C0" w14:textId="2F575872" w:rsidR="00206E52" w:rsidRPr="00206E52" w:rsidRDefault="00206E52" w:rsidP="00206E52">
      <w:pPr>
        <w:jc w:val="both"/>
      </w:pPr>
      <w:r w:rsidRPr="00206E52">
        <w:t>Descargar la</w:t>
      </w:r>
      <w:r w:rsidR="00F42AAF">
        <w:t xml:space="preserve"> </w:t>
      </w:r>
      <w:hyperlink r:id="rId15" w:history="1">
        <w:r w:rsidRPr="00206E52">
          <w:rPr>
            <w:rStyle w:val="Hipervnculo"/>
          </w:rPr>
          <w:t>nota de prensa</w:t>
        </w:r>
      </w:hyperlink>
      <w:r w:rsidRPr="00206E52">
        <w:t>.</w:t>
      </w:r>
    </w:p>
    <w:p w14:paraId="6835B82F" w14:textId="6F0A6AAB" w:rsidR="00206E52" w:rsidRPr="00206E52" w:rsidRDefault="00206E52" w:rsidP="00206E52">
      <w:pPr>
        <w:jc w:val="both"/>
      </w:pPr>
      <w:r w:rsidRPr="00206E52">
        <w:t>Como</w:t>
      </w:r>
      <w:r w:rsidR="00F42AAF">
        <w:t xml:space="preserve"> </w:t>
      </w:r>
      <w:r w:rsidRPr="00206E52">
        <w:t>cada vez se espera más que las empresas de todo el mundo divulguen información relacionada con la naturaleza y la biodiversidad, se ha creado la tabla de correspondencias para ayudar a las empresas a comprender los puntos en común entre el ESRS y el TNFD, a través de un mapeo detallado de las divulgaciones y las métricas básicas recomendadas por el TNFD y requeridas por el ESRS. Esto también ayudará a las empresas europeas en el ámbito de aplicación de la Directiva sobre informes de sostenibilidad corporativa (CSRD) que consideren la alineación con el TNFD.</w:t>
      </w:r>
    </w:p>
    <w:p w14:paraId="6FE7C813" w14:textId="77777777" w:rsidR="00206E52" w:rsidRPr="00206E52" w:rsidRDefault="00206E52" w:rsidP="00206E52">
      <w:pPr>
        <w:jc w:val="both"/>
      </w:pPr>
      <w:r w:rsidRPr="00206E52">
        <w:t>El EFRAG y el TNFD han colaborado estrechamente durante más de dos años para maximizar la coherencia de las normas ambientales del ESRS y las recomendaciones del TNFD a medida que se desarrollaban en paralelo. El ESRS se emitió como acto delegado en julio de 2023 y las recomendaciones del TNFD en septiembre de 2023. En diciembre de 2023, el EFRAG y el TNFD firmaron un memorando de entendimiento (MoU) para continuar esta colaboración, ya que ambas organizaciones buscan responder a las necesidades de orientación en materia de evaluación y presentación de informes de los participantes del mercado sujetos a los requisitos de presentación de informes de la CSRD.</w:t>
      </w:r>
    </w:p>
    <w:p w14:paraId="29F37B69" w14:textId="77777777" w:rsidR="00206E52" w:rsidRPr="00206E52" w:rsidRDefault="00206E52" w:rsidP="00206E52">
      <w:pPr>
        <w:jc w:val="both"/>
      </w:pPr>
      <w:r w:rsidRPr="00206E52">
        <w:t>El alto nivel de correspondencia entre los estándares ambientales del ESRS más allá del cambio climático (E2-E5) y las recomendaciones y métricas centrales del TNFD se refleja, entre otros, a través de lo siguiente:</w:t>
      </w:r>
    </w:p>
    <w:p w14:paraId="7CD24461" w14:textId="1F603993" w:rsidR="00206E52" w:rsidRPr="00206E52" w:rsidRDefault="00206E52" w:rsidP="00206E52">
      <w:pPr>
        <w:jc w:val="both"/>
      </w:pPr>
      <w:r w:rsidRPr="00206E52">
        <w:rPr>
          <w:b/>
          <w:bCs/>
        </w:rPr>
        <w:t>Conceptos y definiciones:</w:t>
      </w:r>
      <w:r w:rsidR="00F42AAF">
        <w:t xml:space="preserve"> </w:t>
      </w:r>
      <w:r w:rsidRPr="00206E52">
        <w:t>Tanto el TNFD como el ESRS recomiendan la necesidad de revelar los impactos, riesgos y oportunidades relacionados con la naturaleza, incluidas las dependencias de la naturaleza en la medida en que generen riesgos materiales.</w:t>
      </w:r>
    </w:p>
    <w:p w14:paraId="29964A41" w14:textId="67E5481E" w:rsidR="00206E52" w:rsidRPr="00206E52" w:rsidRDefault="00206E52" w:rsidP="00206E52">
      <w:pPr>
        <w:jc w:val="both"/>
      </w:pPr>
      <w:r w:rsidRPr="00206E52">
        <w:rPr>
          <w:b/>
          <w:bCs/>
        </w:rPr>
        <w:t>Enfoque de materialidad:</w:t>
      </w:r>
      <w:r w:rsidR="00F42AAF">
        <w:t xml:space="preserve"> </w:t>
      </w:r>
      <w:r w:rsidRPr="00206E52">
        <w:t>Las Normas ESRS exigen que las revelaciones se basen en un principio de doble materialidad. El enfoque TNFD permite diferentes enfoques de materialidad, incluido el enfoque de doble materialidad requerido por las Normas ESRS.</w:t>
      </w:r>
    </w:p>
    <w:p w14:paraId="05AB73C3" w14:textId="28AB6DB0" w:rsidR="00206E52" w:rsidRPr="00206E52" w:rsidRDefault="00206E52" w:rsidP="00206E52">
      <w:pPr>
        <w:jc w:val="both"/>
      </w:pPr>
      <w:r w:rsidRPr="00206E52">
        <w:rPr>
          <w:b/>
          <w:bCs/>
        </w:rPr>
        <w:t>El enfoque LEAP:</w:t>
      </w:r>
      <w:r w:rsidR="00F42AAF">
        <w:t xml:space="preserve"> </w:t>
      </w:r>
      <w:r w:rsidRPr="00206E52">
        <w:t xml:space="preserve">El TNFD desarrolló el enfoque LEAP para que los participantes del mercado identifiquen y evalúen sus problemas relacionados con la naturaleza. Las ESRS establecen que las empresas pueden realizar su evaluación de materialidad en los asuntos de sostenibilidad de la contaminación, el agua, la biodiversidad y los ecosistemas, y la economía circular (todos los estándares ambientales de las ESRS más allá del cambio climático) utilizando el enfoque LEAP. El </w:t>
      </w:r>
      <w:r w:rsidRPr="00206E52">
        <w:lastRenderedPageBreak/>
        <w:t>enfoque LEAP ha sido diseñado para ayudar a las organizaciones informantes a identificar tanto la materialidad del impacto (al final de la fase de "Evaluación" de LEAP) como la materialidad financiera (al final de la fase de "Evaluación" de LEAP), lo que proporciona un enfoque integral para los preparadores de informes CSRD.</w:t>
      </w:r>
    </w:p>
    <w:p w14:paraId="1D84B2A5" w14:textId="15F9D219" w:rsidR="00206E52" w:rsidRPr="00206E52" w:rsidRDefault="00206E52" w:rsidP="00206E52">
      <w:pPr>
        <w:jc w:val="both"/>
      </w:pPr>
      <w:r w:rsidRPr="00206E52">
        <w:rPr>
          <w:b/>
          <w:bCs/>
        </w:rPr>
        <w:t>Pilares de informes:</w:t>
      </w:r>
      <w:r w:rsidR="00F42AAF">
        <w:t xml:space="preserve"> </w:t>
      </w:r>
      <w:r w:rsidRPr="00206E52">
        <w:t>Tanto las divulgaciones recomendadas del TNFD como las áreas de informes del ESRS están organizadas en torno a los cuatro pilares de divulgación del Grupo de Trabajo sobre Divulgaciones Financieras Relacionadas con el Clima (TCFD): gobernanza, estrategia, gestión de riesgos y métricas y objetivos.</w:t>
      </w:r>
    </w:p>
    <w:p w14:paraId="06C61D44" w14:textId="255FB30B" w:rsidR="00206E52" w:rsidRPr="00206E52" w:rsidRDefault="00206E52" w:rsidP="00206E52">
      <w:pPr>
        <w:jc w:val="both"/>
      </w:pPr>
      <w:r w:rsidRPr="00206E52">
        <w:rPr>
          <w:b/>
          <w:bCs/>
        </w:rPr>
        <w:t>Divulgaciones y métricas recomendadas:</w:t>
      </w:r>
      <w:r w:rsidR="00F42AAF">
        <w:rPr>
          <w:b/>
          <w:bCs/>
        </w:rPr>
        <w:t xml:space="preserve"> </w:t>
      </w:r>
      <w:r w:rsidRPr="00206E52">
        <w:t>Las 14 divulgaciones recomendadas por el TNFD se reflejan en el ESRS. Las divulgaciones recomendadas por el TNFD y los requisitos del ESRS están diseñados para proporcionar información relevante y fiel sobre cuestiones de sostenibilidad relacionadas con la naturaleza. También existe una fuerte coherencia entre las métricas de divulgación globales básicas del TNFD y las métricas relacionadas en el ESRS.</w:t>
      </w:r>
    </w:p>
    <w:p w14:paraId="795D6B74" w14:textId="77777777" w:rsidR="00206E52" w:rsidRPr="00206E52" w:rsidRDefault="00206E52" w:rsidP="00206E52">
      <w:pPr>
        <w:jc w:val="both"/>
      </w:pPr>
      <w:r w:rsidRPr="00206E52">
        <w:t>El EFRAG y el TNFD se comprometen a seguir promoviendo la transparencia relacionada con la naturaleza, proporcionando datos sólidos muy necesarios para que todas las partes interesadas fomenten el desarrollo sostenible. El EFRAG y el TNFD trabajarán en estrecha colaboración en el desarrollo de futuras orientaciones y herramientas para apoyar la divulgación de información relacionada con la naturaleza.</w:t>
      </w:r>
    </w:p>
    <w:p w14:paraId="0CC8B896" w14:textId="77777777" w:rsidR="00206E52" w:rsidRPr="00206E52" w:rsidRDefault="00206E52" w:rsidP="00F42AAF">
      <w:pPr>
        <w:spacing w:after="0"/>
        <w:jc w:val="both"/>
      </w:pPr>
      <w:r w:rsidRPr="00206E52">
        <w:rPr>
          <w:b/>
          <w:bCs/>
        </w:rPr>
        <w:t>Tony Goldner, director ejecutivo de TNFD, dijo:</w:t>
      </w:r>
    </w:p>
    <w:p w14:paraId="0B5DF8B6" w14:textId="77777777" w:rsidR="00206E52" w:rsidRPr="00206E52" w:rsidRDefault="00206E52" w:rsidP="00206E52">
      <w:pPr>
        <w:jc w:val="both"/>
      </w:pPr>
      <w:r w:rsidRPr="00206E52">
        <w:t>"A medida que los participantes del mercado de más de 45 países han comenzado a evaluar e informar sobre sus problemas relacionados con la naturaleza en consonancia con nuestras recomendaciones, muchos nos han pedido más orientación para garantizar que sus informes cumplan con los requisitos obligatorios de la CSRD. La evaluación publicada hoy proporciona esa claridad adicional a los participantes del mercado.</w:t>
      </w:r>
    </w:p>
    <w:p w14:paraId="2F1B03A8" w14:textId="63646EA2" w:rsidR="00206E52" w:rsidRPr="00206E52" w:rsidRDefault="00206E52" w:rsidP="00206E52">
      <w:pPr>
        <w:jc w:val="both"/>
      </w:pPr>
      <w:r w:rsidRPr="00206E52">
        <w:t>Nos hemos beneficiado de los aportes de la Secretaría del EFRAG en el desarrollo de las recomendaciones del TNFD, y estamos igualmente encantados de que el ESRS recomiende el uso del proceso de evaluación LEAP desarrollado por el TNFD.</w:t>
      </w:r>
    </w:p>
    <w:p w14:paraId="4751A58E" w14:textId="657237CD" w:rsidR="00206E52" w:rsidRPr="00206E52" w:rsidRDefault="00206E52" w:rsidP="00206E52">
      <w:pPr>
        <w:jc w:val="both"/>
      </w:pPr>
      <w:r w:rsidRPr="00206E52">
        <w:t>“Esperamos seguir colaborando con la Unión Europea en el desarrollo y el intercambio de orientación práctica para garantizar la presentación de informes de sostenibilidad consistentes y de alta calidad”.</w:t>
      </w:r>
    </w:p>
    <w:p w14:paraId="22490DDB" w14:textId="77777777" w:rsidR="00206E52" w:rsidRPr="00206E52" w:rsidRDefault="00206E52" w:rsidP="00F42AAF">
      <w:pPr>
        <w:spacing w:after="0"/>
        <w:jc w:val="both"/>
      </w:pPr>
      <w:r w:rsidRPr="00206E52">
        <w:rPr>
          <w:b/>
          <w:bCs/>
        </w:rPr>
        <w:t>Patrick de Cambourg, presidente del SRB del EFRAG, afirmó:</w:t>
      </w:r>
    </w:p>
    <w:p w14:paraId="67A55928" w14:textId="77777777" w:rsidR="00206E52" w:rsidRPr="00206E52" w:rsidRDefault="00206E52" w:rsidP="00206E52">
      <w:pPr>
        <w:jc w:val="both"/>
      </w:pPr>
      <w:r w:rsidRPr="00206E52">
        <w:t>"La publicación hoy del mapeo de correspondencias entre las recomendaciones del ESRS y del TNFD marca un hito significativo en el avance de la transparencia relacionada con la naturaleza en los informes corporativos. El alto nivel de coincidencia alcanzado entre las divulgaciones del ESRS y del TNFD subraya nuestro compromiso compartido de fomentar el desarrollo sostenible y proporcionar datos sólidos para las partes interesadas.</w:t>
      </w:r>
    </w:p>
    <w:p w14:paraId="4D5A4220" w14:textId="77777777" w:rsidR="00206E52" w:rsidRPr="00206E52" w:rsidRDefault="00206E52" w:rsidP="00206E52">
      <w:pPr>
        <w:jc w:val="both"/>
      </w:pPr>
      <w:r w:rsidRPr="00206E52">
        <w:t xml:space="preserve">Como presidente de la Junta de Normas Únicas del EFRAG, me complace ver la culminación de nuestros esfuerzos de colaboración con el TNFD para maximizar la coherencia y brindar claridad a los participantes del mercado. Este mapeo ayudará prácticamente a los preparadores y otras partes interesadas a comprender cómo aprovechar el TNFD al informar sobre ESRS y viceversa. En el futuro, </w:t>
      </w:r>
      <w:r w:rsidRPr="00206E52">
        <w:lastRenderedPageBreak/>
        <w:t>el EFRAG seguirá dedicado a respaldar la implementación de divulgaciones relacionadas con la naturaleza y a colaborar con el TNFD para desarrollar más orientación y herramientas para los participantes del mercado".</w:t>
      </w:r>
    </w:p>
    <w:p w14:paraId="1AA7A35D" w14:textId="4B3E8052" w:rsidR="00206E52" w:rsidRPr="00206E52" w:rsidRDefault="00455B9A" w:rsidP="00206E52">
      <w:pPr>
        <w:jc w:val="both"/>
      </w:pPr>
      <w:hyperlink r:id="rId16" w:history="1">
        <w:r w:rsidR="00206E52" w:rsidRPr="00206E52">
          <w:rPr>
            <w:rStyle w:val="Hipervnculo"/>
          </w:rPr>
          <w:t>Acceda al mapeo de correspondencia</w:t>
        </w:r>
      </w:hyperlink>
      <w:r w:rsidR="00F42AAF">
        <w:t xml:space="preserve"> </w:t>
      </w:r>
      <w:r w:rsidR="00206E52" w:rsidRPr="00206E52">
        <w:t>TNFD-ESRS.</w:t>
      </w:r>
    </w:p>
    <w:p w14:paraId="2C32E32E" w14:textId="32943A9B" w:rsidR="00206E52" w:rsidRPr="00206E52" w:rsidRDefault="00206E52" w:rsidP="00206E52">
      <w:pPr>
        <w:jc w:val="both"/>
      </w:pPr>
      <w:r w:rsidRPr="00206E52">
        <w:t>Descargar la</w:t>
      </w:r>
      <w:r w:rsidR="00F42AAF">
        <w:t xml:space="preserve"> </w:t>
      </w:r>
      <w:hyperlink r:id="rId17" w:history="1">
        <w:r w:rsidRPr="00206E52">
          <w:rPr>
            <w:rStyle w:val="Hipervnculo"/>
          </w:rPr>
          <w:t>nota de prensa</w:t>
        </w:r>
      </w:hyperlink>
      <w:r w:rsidRPr="00206E52">
        <w:t>.</w:t>
      </w:r>
    </w:p>
    <w:p w14:paraId="7E177FDF" w14:textId="3FA185A8" w:rsidR="00206E52" w:rsidRDefault="00206E52" w:rsidP="00206E52">
      <w:pPr>
        <w:jc w:val="both"/>
      </w:pPr>
      <w:r w:rsidRPr="00206E52">
        <w:rPr>
          <w:noProof/>
        </w:rPr>
        <w:drawing>
          <wp:inline distT="0" distB="0" distL="0" distR="0" wp14:anchorId="2AE27FEE" wp14:editId="058AF9E5">
            <wp:extent cx="5612130" cy="9982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12130" cy="998220"/>
                    </a:xfrm>
                    <a:prstGeom prst="rect">
                      <a:avLst/>
                    </a:prstGeom>
                  </pic:spPr>
                </pic:pic>
              </a:graphicData>
            </a:graphic>
          </wp:inline>
        </w:drawing>
      </w:r>
    </w:p>
    <w:p w14:paraId="3291521A" w14:textId="35CA86E4" w:rsidR="00206E52" w:rsidRDefault="00206E52" w:rsidP="00206E52">
      <w:pPr>
        <w:jc w:val="both"/>
      </w:pPr>
    </w:p>
    <w:p w14:paraId="35A5B5AA" w14:textId="3137169F" w:rsidR="00206E52" w:rsidRDefault="00206E52" w:rsidP="00206E52">
      <w:pPr>
        <w:jc w:val="both"/>
      </w:pPr>
    </w:p>
    <w:p w14:paraId="296B9FC4" w14:textId="20DCD90E" w:rsidR="00206E52" w:rsidRDefault="00206E52" w:rsidP="00206E52">
      <w:pPr>
        <w:jc w:val="both"/>
      </w:pPr>
    </w:p>
    <w:p w14:paraId="537FA010" w14:textId="622C6592" w:rsidR="00206E52" w:rsidRDefault="00206E52" w:rsidP="00206E52">
      <w:pPr>
        <w:jc w:val="both"/>
      </w:pPr>
    </w:p>
    <w:p w14:paraId="5C41711F" w14:textId="559D9F5B" w:rsidR="00206E52" w:rsidRDefault="00206E52" w:rsidP="00206E52">
      <w:pPr>
        <w:jc w:val="both"/>
      </w:pPr>
    </w:p>
    <w:p w14:paraId="1AF751E2" w14:textId="1D0D0D31" w:rsidR="00206E52" w:rsidRDefault="00206E52" w:rsidP="00206E52">
      <w:pPr>
        <w:jc w:val="both"/>
      </w:pPr>
    </w:p>
    <w:p w14:paraId="18BFCC39" w14:textId="110A5BC2" w:rsidR="00206E52" w:rsidRDefault="00206E52" w:rsidP="00206E52">
      <w:pPr>
        <w:jc w:val="both"/>
      </w:pPr>
    </w:p>
    <w:p w14:paraId="556EEC07" w14:textId="1B61BE7C" w:rsidR="00206E52" w:rsidRDefault="00206E52" w:rsidP="00206E52">
      <w:pPr>
        <w:jc w:val="both"/>
      </w:pPr>
    </w:p>
    <w:p w14:paraId="0FD54AC8" w14:textId="15075343" w:rsidR="00206E52" w:rsidRDefault="00206E52" w:rsidP="00206E52">
      <w:pPr>
        <w:jc w:val="both"/>
      </w:pPr>
    </w:p>
    <w:p w14:paraId="5511DE5F" w14:textId="298CC2B9" w:rsidR="002247D8" w:rsidRDefault="002247D8" w:rsidP="00206E52">
      <w:pPr>
        <w:jc w:val="both"/>
      </w:pPr>
    </w:p>
    <w:p w14:paraId="1816EF61" w14:textId="42EA0A3F" w:rsidR="002247D8" w:rsidRDefault="002247D8" w:rsidP="00206E52">
      <w:pPr>
        <w:jc w:val="both"/>
      </w:pPr>
    </w:p>
    <w:p w14:paraId="2797DA98" w14:textId="07A9CC8B" w:rsidR="002247D8" w:rsidRDefault="002247D8" w:rsidP="00206E52">
      <w:pPr>
        <w:jc w:val="both"/>
      </w:pPr>
    </w:p>
    <w:p w14:paraId="1818A360" w14:textId="04405A2B" w:rsidR="002247D8" w:rsidRDefault="002247D8" w:rsidP="00206E52">
      <w:pPr>
        <w:jc w:val="both"/>
      </w:pPr>
    </w:p>
    <w:p w14:paraId="33CFD141" w14:textId="469B75D7" w:rsidR="002247D8" w:rsidRDefault="002247D8" w:rsidP="00206E52">
      <w:pPr>
        <w:jc w:val="both"/>
      </w:pPr>
    </w:p>
    <w:p w14:paraId="5504A108" w14:textId="2DA28746" w:rsidR="002247D8" w:rsidRDefault="002247D8" w:rsidP="00206E52">
      <w:pPr>
        <w:jc w:val="both"/>
      </w:pPr>
    </w:p>
    <w:p w14:paraId="4F2C5A53" w14:textId="73921072" w:rsidR="002247D8" w:rsidRDefault="002247D8" w:rsidP="00206E52">
      <w:pPr>
        <w:jc w:val="both"/>
      </w:pPr>
    </w:p>
    <w:p w14:paraId="458DCDA4" w14:textId="77777777" w:rsidR="002247D8" w:rsidRDefault="002247D8" w:rsidP="00206E52">
      <w:pPr>
        <w:jc w:val="both"/>
      </w:pPr>
    </w:p>
    <w:p w14:paraId="6981738D" w14:textId="77777777" w:rsidR="00206E52" w:rsidRDefault="00206E52" w:rsidP="00206E52">
      <w:pPr>
        <w:jc w:val="both"/>
      </w:pPr>
    </w:p>
    <w:p w14:paraId="7C41F2A8" w14:textId="7049A887" w:rsidR="00206E52" w:rsidRDefault="00206E52" w:rsidP="00206E52">
      <w:pPr>
        <w:jc w:val="both"/>
      </w:pPr>
      <w:r w:rsidRPr="00206E52">
        <w:rPr>
          <w:noProof/>
        </w:rPr>
        <w:lastRenderedPageBreak/>
        <w:drawing>
          <wp:inline distT="0" distB="0" distL="0" distR="0" wp14:anchorId="38D52D09" wp14:editId="48514179">
            <wp:extent cx="5612130" cy="1161415"/>
            <wp:effectExtent l="0" t="0" r="762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12130" cy="1161415"/>
                    </a:xfrm>
                    <a:prstGeom prst="rect">
                      <a:avLst/>
                    </a:prstGeom>
                  </pic:spPr>
                </pic:pic>
              </a:graphicData>
            </a:graphic>
          </wp:inline>
        </w:drawing>
      </w:r>
    </w:p>
    <w:p w14:paraId="5090163D" w14:textId="77777777" w:rsidR="00E27616" w:rsidRPr="00E27616" w:rsidRDefault="00E27616" w:rsidP="003A1E37">
      <w:pPr>
        <w:jc w:val="center"/>
        <w:rPr>
          <w:sz w:val="36"/>
          <w:szCs w:val="36"/>
        </w:rPr>
      </w:pPr>
      <w:r w:rsidRPr="00206E52">
        <w:rPr>
          <w:sz w:val="36"/>
          <w:szCs w:val="36"/>
        </w:rPr>
        <w:t>TNFD y EFRAG publican correspondencia mapeo</w:t>
      </w:r>
    </w:p>
    <w:p w14:paraId="42B1F27C" w14:textId="77777777" w:rsidR="00E27616" w:rsidRPr="00E27616" w:rsidRDefault="00E27616" w:rsidP="003A1E37">
      <w:pPr>
        <w:jc w:val="both"/>
        <w:rPr>
          <w:rFonts w:ascii="Arial Nova Cond" w:hAnsi="Arial Nova Cond"/>
        </w:rPr>
      </w:pPr>
      <w:r w:rsidRPr="00206E52">
        <w:rPr>
          <w:rFonts w:ascii="Arial Nova Cond" w:hAnsi="Arial Nova Cond"/>
        </w:rPr>
        <w:t>El Grupo de Trabajo sobre Divulgaciones Financieras relacionadas con la Naturaleza (TNFD) y EFRAG han publicado conjuntamente un mapeo de la correspondencia entre las Normas Europeas de Información sobre Sostenibilidad (ESRS) y las divulgaciones y métricas recomendadas por el TNFD, lo que ilustra el alto nivel de similitud logrado. Esta evaluación pone de relieve que las 14 divulgaciones recomendadas por el TNFD se reflejan en el ESRS.</w:t>
      </w:r>
    </w:p>
    <w:p w14:paraId="62AFA06D" w14:textId="77777777" w:rsidR="00E27616" w:rsidRPr="00E27616" w:rsidRDefault="00E27616" w:rsidP="00AF69B0">
      <w:pPr>
        <w:jc w:val="both"/>
      </w:pPr>
      <w:r w:rsidRPr="00206E52">
        <w:t>Londres, Bruselas: 20 de junio de 2024</w:t>
      </w:r>
    </w:p>
    <w:p w14:paraId="06AA73C8" w14:textId="77777777" w:rsidR="00E27616" w:rsidRPr="00E27616" w:rsidRDefault="00E27616" w:rsidP="00AF69B0">
      <w:pPr>
        <w:jc w:val="both"/>
      </w:pPr>
      <w:r w:rsidRPr="00206E52">
        <w:t>Dado que se espera cada vez más que las empresas de todo el mundo divulguen información relacionada con la naturaleza y la biodiversidad, se ha creado la tabla de correspondencia para ayudar a las empresas a comprender los puntos en común entre el ESRS y el TNFD, a través de un mapeo detallado de las divulgaciones y las métricas básicas recomendadas por el TNFD y requeridas por el ESRS. Esto también ayudará a las empresas europeas incluidas en el ámbito de aplicación de la Directiva de Informes de Sostenibilidad Corporativa (CSRD) que consideren la posibilidad de alinearse con la TNFD.</w:t>
      </w:r>
    </w:p>
    <w:p w14:paraId="40AAED90" w14:textId="77777777" w:rsidR="00E27616" w:rsidRPr="00E27616" w:rsidRDefault="00E27616" w:rsidP="00272E28">
      <w:pPr>
        <w:jc w:val="both"/>
      </w:pPr>
      <w:r w:rsidRPr="00206E52">
        <w:t xml:space="preserve">EFRAG y TNFD han colaborado estrechamente durante más de dos años para maximizar la coherencia de las normas medioambientales ESRS y las recomendaciones de TNFD a medida que se desarrollaban en paralelo. El ESRS se emitió como Acto </w:t>
      </w:r>
      <w:proofErr w:type="gramStart"/>
      <w:r w:rsidRPr="00206E52">
        <w:t>Delegado</w:t>
      </w:r>
      <w:proofErr w:type="gramEnd"/>
      <w:r w:rsidRPr="00206E52">
        <w:t xml:space="preserve"> en julio de 2023 y las recomendaciones del TNFD en septiembre de 2023. En diciembre de 2023, EFRAG y TNFD firmaron un Memorando de Entendimiento (MoU) para continuar esta colaboración, ya que ambas organizaciones buscan responder a las necesidades de orientación en materia de evaluación e informes de los participantes en el mercado sujetos a los requisitos de presentación de informes de la CSRD.</w:t>
      </w:r>
    </w:p>
    <w:p w14:paraId="78688DF8" w14:textId="77777777" w:rsidR="00E27616" w:rsidRPr="00E27616" w:rsidRDefault="00E27616" w:rsidP="00272E28">
      <w:pPr>
        <w:jc w:val="both"/>
      </w:pPr>
      <w:r w:rsidRPr="00206E52">
        <w:t>El alto nivel de correspondencia entre los estándares ambientales de ESRS más allá del cambio climático (E2-E5) y las recomendaciones y métricas básicas de TNFD se refleja, entre otros, a través de lo siguiente:</w:t>
      </w:r>
    </w:p>
    <w:p w14:paraId="49E84569" w14:textId="77777777" w:rsidR="00E27616" w:rsidRPr="00E27616" w:rsidRDefault="00E27616" w:rsidP="001A57CE">
      <w:pPr>
        <w:jc w:val="both"/>
      </w:pPr>
      <w:r w:rsidRPr="00206E52">
        <w:t>Conceptos y definiciones: Tanto el TNFD como el ESRS recomiendan la necesidad de revelar los impactos, riesgos y oportunidades relacionados con la naturaleza, incluidas las dependencias de la naturaleza en la medida en que generen riesgos materiales.</w:t>
      </w:r>
    </w:p>
    <w:p w14:paraId="6EBB9D2A" w14:textId="77777777" w:rsidR="00E27616" w:rsidRPr="00E27616" w:rsidRDefault="00E27616" w:rsidP="001A57CE">
      <w:pPr>
        <w:jc w:val="both"/>
      </w:pPr>
      <w:r w:rsidRPr="00206E52">
        <w:t xml:space="preserve">Enfoque de la materialidad: El SERS exige que las divulgaciones se basen en un principio de doble materialidad. El enfoque TNFD permite diferentes enfoques de la materialidad, incluido el enfoque de doble materialidad requerido por el ESRS. El enfoque LEAP: El TNFD desarrolló el enfoque LEAP para que los participantes del mercado identifiquen y evalúen sus problemas relacionados con la naturaleza. El ESRS establece que las empresas pueden llevar a cabo su evaluación de materialidad </w:t>
      </w:r>
      <w:r w:rsidRPr="00206E52">
        <w:lastRenderedPageBreak/>
        <w:t>en los asuntos de sostenibilidad de la contaminación, el agua, la biodiversidad y los ecosistemas, y la economía circular (todos los estándares ambientales del ESRS más allá del cambio climático) utilizando el enfoque LEAP.</w:t>
      </w:r>
    </w:p>
    <w:p w14:paraId="554159AF" w14:textId="77777777" w:rsidR="00E27616" w:rsidRPr="00E27616" w:rsidRDefault="00E27616" w:rsidP="0088656D">
      <w:pPr>
        <w:jc w:val="both"/>
      </w:pPr>
      <w:r w:rsidRPr="00206E52">
        <w:t>El enfoque LEAP ha sido diseñado para ayudar a las organizaciones informantes a identificar tanto la materialidad del impacto (al final de la fase de "Evaluación" de LEAP) como la materialidad financiera (al final de la fase de "Evaluación" de LEAP), proporcionando un enfoque integral para los preparadores de informes de CSRD.</w:t>
      </w:r>
    </w:p>
    <w:p w14:paraId="471A7E24" w14:textId="77777777" w:rsidR="00E27616" w:rsidRPr="00E27616" w:rsidRDefault="00E27616" w:rsidP="0088656D">
      <w:pPr>
        <w:jc w:val="both"/>
      </w:pPr>
      <w:r w:rsidRPr="00206E52">
        <w:t>Pilares de la presentación de informes: Tanto las divulgaciones recomendadas por el TNFD como las áreas de presentación de informes del ESRS se organizan en torno a los cuatro pilares de divulgación del Grupo de Trabajo sobre Divulgaciones Financieras relacionadas con el Clima (TCFD): Gobernanza, Estrategia, Gestión de Riesgos y Métricas y Objetivos.</w:t>
      </w:r>
    </w:p>
    <w:p w14:paraId="5E6616AC" w14:textId="77777777" w:rsidR="00E27616" w:rsidRPr="00E27616" w:rsidRDefault="00E27616" w:rsidP="0088656D">
      <w:pPr>
        <w:jc w:val="both"/>
      </w:pPr>
      <w:r w:rsidRPr="00206E52">
        <w:t>Divulgaciones y métricas recomendadas: Las 14 divulgaciones recomendadas por el TNFD se reflejan en el ESRS. Las divulgaciones recomendadas por el TNFD y los requisitos del ESRS están diseñadas para proporcionar información relevante y fiel sobre asuntos de sostenibilidad relacionados con la naturaleza. También existe una fuerte coherencia entre los parámetros básicos de divulgación mundial del TNFD y los parámetros conexos del ESRS.</w:t>
      </w:r>
    </w:p>
    <w:p w14:paraId="32B85502" w14:textId="77777777" w:rsidR="00E27616" w:rsidRPr="00E27616" w:rsidRDefault="00E27616" w:rsidP="00801F14">
      <w:pPr>
        <w:jc w:val="both"/>
      </w:pPr>
      <w:r w:rsidRPr="00206E52">
        <w:t>El EFRAG y el TNFD se comprometen a seguir promoviendo la transparencia relacionada con la naturaleza, proporcionando datos sólidos muy necesarios para que todas las partes interesadas fomenten el desarrollo sostenible. EFRAG y TNFD trabajarán en estrecha colaboración en el desarrollo de futuras directrices y herramientas para apoyar la divulgación de información relacionada con la naturaleza.</w:t>
      </w:r>
    </w:p>
    <w:p w14:paraId="64A1FA14" w14:textId="77777777" w:rsidR="00E27616" w:rsidRPr="00E27616" w:rsidRDefault="00E27616" w:rsidP="00801F14">
      <w:pPr>
        <w:jc w:val="both"/>
      </w:pPr>
      <w:r w:rsidRPr="00206E52">
        <w:t>Acerca de las recomendaciones de divulgación de TNFD</w:t>
      </w:r>
    </w:p>
    <w:p w14:paraId="3503AEA1" w14:textId="77777777" w:rsidR="00E27616" w:rsidRPr="00E27616" w:rsidRDefault="00E27616" w:rsidP="00801F14">
      <w:pPr>
        <w:jc w:val="both"/>
      </w:pPr>
      <w:r w:rsidRPr="00206E52">
        <w:t>En septiembre de 2023 se publicaron las Recomendaciones para la divulgación de información relacionada con la naturaleza emitidas por el Grupo de Trabajo sobre Divulgaciones Financieras Relacionadas con la Naturaleza (TNFD) para permitir a las empresas evaluar, divulgar y gestionar las dependencias, los impactos, los riesgos y las oportunidades relacionados con la naturaleza.</w:t>
      </w:r>
    </w:p>
    <w:p w14:paraId="694F1666" w14:textId="77777777" w:rsidR="00E27616" w:rsidRPr="00455B9A" w:rsidRDefault="00E27616" w:rsidP="00801F14">
      <w:pPr>
        <w:jc w:val="both"/>
      </w:pPr>
      <w:r w:rsidRPr="00455B9A">
        <w:t>Sobre la ESRS</w:t>
      </w:r>
    </w:p>
    <w:p w14:paraId="3B08041F" w14:textId="77777777" w:rsidR="00E27616" w:rsidRPr="00E27616" w:rsidRDefault="00E27616" w:rsidP="001B2330">
      <w:pPr>
        <w:jc w:val="both"/>
      </w:pPr>
      <w:r w:rsidRPr="00206E52">
        <w:t xml:space="preserve">El 31 de julio de 2023, la Comisión Europea adoptó el Acto </w:t>
      </w:r>
      <w:proofErr w:type="gramStart"/>
      <w:r w:rsidRPr="00206E52">
        <w:t>Delegado</w:t>
      </w:r>
      <w:proofErr w:type="gramEnd"/>
      <w:r w:rsidRPr="00206E52">
        <w:t xml:space="preserve"> sobre el primer conjunto de Normas Europeas de Información en materia de Sostenibilidad (ESRS), redactado por EFRAG en su calidad de asesor técnico de la Comisión Europea. Los colegisladores exigen la adopción de los RESE mediante un acto delegado en la Directiva sobre presentación de informes corporativos en materia de sostenibilidad (Directiva (Directiva (UE) 2022/2464) adoptada en diciembre de 2022. El Acto </w:t>
      </w:r>
      <w:proofErr w:type="gramStart"/>
      <w:r w:rsidRPr="00206E52">
        <w:t>Delegado</w:t>
      </w:r>
      <w:proofErr w:type="gramEnd"/>
      <w:r w:rsidRPr="00206E52">
        <w:t xml:space="preserve"> y sus anexos se publicaron en el Diario Oficial el 22 de diciembre de 2023.</w:t>
      </w:r>
    </w:p>
    <w:p w14:paraId="3D92FBCB" w14:textId="77777777" w:rsidR="00E27616" w:rsidRPr="00E27616" w:rsidRDefault="00E27616" w:rsidP="001B2330">
      <w:pPr>
        <w:jc w:val="both"/>
      </w:pPr>
      <w:r w:rsidRPr="00206E52">
        <w:t xml:space="preserve">Tony Goldner, </w:t>
      </w:r>
      <w:proofErr w:type="gramStart"/>
      <w:r w:rsidRPr="00206E52">
        <w:t>Director Ejecutivo</w:t>
      </w:r>
      <w:proofErr w:type="gramEnd"/>
      <w:r w:rsidRPr="00206E52">
        <w:t xml:space="preserve"> de TNFD, dijo:</w:t>
      </w:r>
    </w:p>
    <w:p w14:paraId="1F618BCE" w14:textId="77777777" w:rsidR="00E27616" w:rsidRPr="00E27616" w:rsidRDefault="00E27616" w:rsidP="00D105FD">
      <w:pPr>
        <w:jc w:val="both"/>
      </w:pPr>
      <w:r w:rsidRPr="00206E52">
        <w:t xml:space="preserve">"A medida que los participantes del mercado de más de 45 países han comenzado a evaluar e informar sobre sus problemas relacionados con la naturaleza alineados con nuestras recomendaciones, muchos nos han pedido más orientación para garantizar que sus informes cumplan con los requisitos obligatorios de CSRD. La evaluación publicada hoy proporciona esa claridad adicional a los participantes del mercado. Nos hemos beneficiado de las aportaciones de la </w:t>
      </w:r>
      <w:r w:rsidRPr="00206E52">
        <w:lastRenderedPageBreak/>
        <w:t>Secretaría del EFRAG en el desarrollo de las recomendaciones del TNFD, y estamos igualmente encantados de que el ESRS recomiende el uso del proceso de evaluación del LEAP desarrollado por el TNFD.</w:t>
      </w:r>
    </w:p>
    <w:p w14:paraId="7C3D319A" w14:textId="77777777" w:rsidR="00E27616" w:rsidRPr="00E27616" w:rsidRDefault="00E27616" w:rsidP="00D105FD">
      <w:pPr>
        <w:jc w:val="both"/>
      </w:pPr>
      <w:r w:rsidRPr="00206E52">
        <w:t>Esperamos seguir colaborando con la Unión Europea en el desarrollo y el intercambio de directrices prácticas para garantizar la divulgación de informes de sostenibilidad coherentes y de alta calidad".</w:t>
      </w:r>
    </w:p>
    <w:p w14:paraId="52A4E3FE" w14:textId="77777777" w:rsidR="00E27616" w:rsidRPr="00E27616" w:rsidRDefault="00E27616" w:rsidP="00D105FD">
      <w:pPr>
        <w:jc w:val="both"/>
      </w:pPr>
      <w:r w:rsidRPr="00206E52">
        <w:t>Patrick de Cambourg, presidente de la JUR del EFRAG, declaró:</w:t>
      </w:r>
    </w:p>
    <w:p w14:paraId="3EE6B757" w14:textId="77777777" w:rsidR="00E27616" w:rsidRPr="00E27616" w:rsidRDefault="00E27616" w:rsidP="00CB0B52">
      <w:pPr>
        <w:jc w:val="both"/>
      </w:pPr>
      <w:r w:rsidRPr="00206E52">
        <w:t>"La publicación hoy del mapeo de correspondencia entre el ESRS y las recomendaciones del TNFD marca un hito importante en el avance de la transparencia relacionada con la naturaleza en los informes corporativos. El alto nivel de coincidencia logrado entre el ESRS y las divulgaciones del TNFD subraya nuestro compromiso compartido de fomentar el desarrollo sostenible y proporcionar datos sólidos para las partes interesadas.</w:t>
      </w:r>
    </w:p>
    <w:p w14:paraId="3414541B" w14:textId="77777777" w:rsidR="00E27616" w:rsidRPr="00E27616" w:rsidRDefault="00E27616" w:rsidP="00CB0B52">
      <w:pPr>
        <w:jc w:val="both"/>
      </w:pPr>
      <w:r w:rsidRPr="00206E52">
        <w:t>Como presidente de la JUR del EFRAG, me complace ver la culminación de nuestros esfuerzos de colaboración con el TNFD para maximizar la coherencia y aportar claridad a los participantes en el mercado. Este mapeo ayudará en la práctica a los preparadores y otras partes interesadas a comprender cómo aprovechar el TNFD al informar sobre ESRS y viceversa. De cara al futuro, EFRAG sigue dedicado a apoyar la implementación de divulgaciones relacionadas con la naturaleza y a colaborar con TNFD para desarrollar más orientación y herramientas para los participantes del mercado".</w:t>
      </w:r>
    </w:p>
    <w:p w14:paraId="0E46FD86" w14:textId="77777777" w:rsidR="00E27616" w:rsidRPr="00E27616" w:rsidRDefault="00E27616" w:rsidP="00A52D2E">
      <w:pPr>
        <w:jc w:val="both"/>
      </w:pPr>
      <w:r w:rsidRPr="00E27616">
        <w:t>ACERCA DEL TNFD</w:t>
      </w:r>
    </w:p>
    <w:p w14:paraId="5478BC52" w14:textId="77777777" w:rsidR="00E27616" w:rsidRPr="00E27616" w:rsidRDefault="00E27616" w:rsidP="00A52D2E">
      <w:pPr>
        <w:jc w:val="both"/>
      </w:pPr>
      <w:r w:rsidRPr="00206E52">
        <w:t>El Grupo de Trabajo sobre Divulgaciones Financieras relacionadas con la Naturaleza (TNFD, por sus siglas en inglés) es una iniciativa impulsada por el mercado, basada en la ciencia y respaldada por el gobierno, que proporciona a las organizaciones las herramientas para actuar sobre la evolución de los problemas relacionados con la naturaleza. Se puso en marcha en junio de 2021 con el apoyo del Grupo de Trabajo de Finanzas Sostenibles del G20 y con el apoyo financiero de varios gobiernos y fundaciones filantrópicas.</w:t>
      </w:r>
    </w:p>
    <w:p w14:paraId="36DD69EF" w14:textId="77777777" w:rsidR="00E27616" w:rsidRPr="00E27616" w:rsidRDefault="00E27616" w:rsidP="00A52D2E">
      <w:pPr>
        <w:jc w:val="both"/>
      </w:pPr>
      <w:r w:rsidRPr="00206E52">
        <w:t>En septiembre de 2023, tras una fase de diseño y consulta de dos años con los participantes del mercado, el TNFD publicó sus recomendaciones de divulgación y orientación de apoyo para la aplicación con el fin de fomentar y permitir que las empresas y las finanzas evalúen, informen y actúen sobre sus dependencias, impactos, riesgos y oportunidades relacionados con la naturaleza, en consonancia con la Meta 15 del Marco Mundial de la Biodiversidad (GBF).</w:t>
      </w:r>
    </w:p>
    <w:p w14:paraId="330A74AA" w14:textId="77777777" w:rsidR="00E27616" w:rsidRPr="00E27616" w:rsidRDefault="00E27616" w:rsidP="00351652">
      <w:pPr>
        <w:jc w:val="both"/>
      </w:pPr>
      <w:r w:rsidRPr="00206E52">
        <w:t>Con la publicación de sus recomendaciones para la presentación de informes institucionales, el Grupo de Trabajo se centra ahora en fomentar y permitir la adopción voluntaria del mercado y apoyar los esfuerzos para abordar las necesidades de conocimientos, creación de capacidades y datos de los participantes en el mercado.</w:t>
      </w:r>
    </w:p>
    <w:p w14:paraId="332A65FD" w14:textId="77777777" w:rsidR="00E27616" w:rsidRPr="00E27616" w:rsidRDefault="00E27616" w:rsidP="00351652">
      <w:pPr>
        <w:jc w:val="both"/>
      </w:pPr>
      <w:r w:rsidRPr="00206E52">
        <w:t xml:space="preserve">El Grupo de Trabajo está compuesto por 40 altos ejecutivos procedentes de las principales instituciones financieras, empresas y proveedores de servicios de mercado, con activos combinados de más de 20 billones de dólares. Veinte socios de conocimiento básico de los principales organismos científicos, de normas y de datos apoyan el trabajo del Grupo de Trabajo. Un grupo de más de 1.500 organizaciones apoyan el trabajo del Grupo de Trabajo como miembros institucionales </w:t>
      </w:r>
      <w:r w:rsidRPr="00206E52">
        <w:lastRenderedPageBreak/>
        <w:t>del Foro TNFD. Más de 370 organizaciones de todo el mundo se han comprometido a comenzar a informar sobre sus problemas relacionados con la naturaleza, alineados con las recomendaciones del TNFD, y varios de los primeros usuarios están publicando informes de divulgación.</w:t>
      </w:r>
    </w:p>
    <w:p w14:paraId="42C367C7" w14:textId="77777777" w:rsidR="00E27616" w:rsidRPr="00E27616" w:rsidRDefault="00E27616" w:rsidP="009659FB">
      <w:pPr>
        <w:jc w:val="both"/>
      </w:pPr>
      <w:r w:rsidRPr="00206E52">
        <w:t>ACERCA DE EFRAG</w:t>
      </w:r>
    </w:p>
    <w:p w14:paraId="5D71139C" w14:textId="77777777" w:rsidR="00E27616" w:rsidRPr="00E27616" w:rsidRDefault="00E27616" w:rsidP="009659FB">
      <w:pPr>
        <w:jc w:val="both"/>
      </w:pPr>
      <w:r w:rsidRPr="00206E52">
        <w:t>La misión de EFRAG es servir al interés público europeo tanto en la información financiera como en la de sostenibilidad mediante el desarrollo y la promoción de puntos de vista europeos en el ámbito de la información corporativa.</w:t>
      </w:r>
    </w:p>
    <w:p w14:paraId="560A2B1A" w14:textId="77777777" w:rsidR="00E27616" w:rsidRPr="00E27616" w:rsidRDefault="00E27616" w:rsidP="009659FB">
      <w:pPr>
        <w:jc w:val="both"/>
      </w:pPr>
      <w:r w:rsidRPr="00206E52">
        <w:t>EFRAG se basa en el progreso de la presentación de informes corporativos y contribuye a él. En sus actividades de presentación de informes de sostenibilidad, EFRAG proporciona asesoramiento técnico a la Comisión Europea en forma de proyectos de Normas Europeas de Presentación de Informes de Sostenibilidad (ESRS) elaborados bajo un sólido debido proceso y apoya la implementación efectiva de ESRS.</w:t>
      </w:r>
    </w:p>
    <w:p w14:paraId="5F245FB5" w14:textId="77777777" w:rsidR="00E27616" w:rsidRPr="00E27616" w:rsidRDefault="00E27616" w:rsidP="009659FB">
      <w:pPr>
        <w:jc w:val="both"/>
      </w:pPr>
      <w:r w:rsidRPr="00206E52">
        <w:t>El EFRAG busca la opinión de todas las partes interesadas y obtiene pruebas sobre circunstancias europeas específicas a lo largo del proceso de establecimiento de normas. Su legitimidad se basa en la excelencia, la transparencia, la gobernanza, el debido proceso, la responsabilidad pública y el liderazgo intelectual. Esto permite a EFRAG hablar de forma convincente, clara y coherente, y ser reconocido como la voz europea en la presentación de informes corporativos y un contribuyente al progreso global en la presentación de informes corporativos.</w:t>
      </w:r>
    </w:p>
    <w:p w14:paraId="61AD108A" w14:textId="47607B0A" w:rsidR="00206E52" w:rsidRPr="00E27616" w:rsidRDefault="00206E52" w:rsidP="00206E52">
      <w:pPr>
        <w:jc w:val="both"/>
      </w:pPr>
    </w:p>
    <w:p w14:paraId="2C349864" w14:textId="77777777" w:rsidR="00E27616" w:rsidRPr="00206E52" w:rsidRDefault="00E27616" w:rsidP="007857AE">
      <w:pPr>
        <w:jc w:val="both"/>
        <w:rPr>
          <w:rFonts w:ascii="Arial Nova Cond" w:hAnsi="Arial Nova Cond"/>
          <w:sz w:val="24"/>
          <w:szCs w:val="24"/>
        </w:rPr>
      </w:pPr>
      <w:r w:rsidRPr="00206E52">
        <w:rPr>
          <w:rFonts w:ascii="Arial Nova Cond" w:hAnsi="Arial Nova Cond"/>
          <w:sz w:val="24"/>
          <w:szCs w:val="24"/>
        </w:rPr>
        <w:t>Contactos para los medios de comunicación:</w:t>
      </w:r>
    </w:p>
    <w:p w14:paraId="78C6F79C" w14:textId="77777777" w:rsidR="00E27616" w:rsidRPr="00F42AAF" w:rsidRDefault="00E27616" w:rsidP="007857AE">
      <w:pPr>
        <w:spacing w:after="0"/>
        <w:jc w:val="both"/>
      </w:pPr>
      <w:r w:rsidRPr="00F42AAF">
        <w:t>Renu Sabharwal, TNFD</w:t>
      </w:r>
    </w:p>
    <w:p w14:paraId="04162039" w14:textId="77777777" w:rsidR="00E27616" w:rsidRPr="00F42AAF" w:rsidRDefault="00455B9A" w:rsidP="007857AE">
      <w:pPr>
        <w:jc w:val="both"/>
      </w:pPr>
      <w:hyperlink r:id="rId20" w:history="1">
        <w:r w:rsidR="00E27616" w:rsidRPr="00F42AAF">
          <w:rPr>
            <w:rStyle w:val="Hipervnculo"/>
          </w:rPr>
          <w:t>Renu.sabherwal@tnfd.global</w:t>
        </w:r>
      </w:hyperlink>
      <w:r w:rsidR="00E27616" w:rsidRPr="00F42AAF">
        <w:t xml:space="preserve"> | + 44 (0) 793 2232538</w:t>
      </w:r>
    </w:p>
    <w:p w14:paraId="5FDEEA9F" w14:textId="77777777" w:rsidR="00E27616" w:rsidRDefault="00E27616" w:rsidP="007857AE">
      <w:pPr>
        <w:spacing w:after="0"/>
        <w:jc w:val="both"/>
        <w:rPr>
          <w:lang w:val="en-US"/>
        </w:rPr>
      </w:pPr>
      <w:r w:rsidRPr="00E27616">
        <w:rPr>
          <w:lang w:val="en-US"/>
        </w:rPr>
        <w:t>Caroline Martins, EFRAG</w:t>
      </w:r>
    </w:p>
    <w:p w14:paraId="05DBAD48" w14:textId="77777777" w:rsidR="00E27616" w:rsidRPr="00206E52" w:rsidRDefault="00455B9A" w:rsidP="007857AE">
      <w:pPr>
        <w:jc w:val="both"/>
        <w:rPr>
          <w:lang w:val="en-US"/>
        </w:rPr>
      </w:pPr>
      <w:hyperlink r:id="rId21" w:history="1">
        <w:r w:rsidR="00E27616" w:rsidRPr="00E27616">
          <w:rPr>
            <w:rStyle w:val="Hipervnculo"/>
            <w:lang w:val="en-US"/>
          </w:rPr>
          <w:t>Caroline.martins@efrag.org</w:t>
        </w:r>
      </w:hyperlink>
      <w:r w:rsidR="00E27616" w:rsidRPr="00E27616">
        <w:rPr>
          <w:lang w:val="en-US"/>
        </w:rPr>
        <w:t xml:space="preserve"> l +32 (0) 2 207 93 00</w:t>
      </w:r>
    </w:p>
    <w:p w14:paraId="29E82B18" w14:textId="4AC9EDE4" w:rsidR="00206E52" w:rsidRDefault="00206E52" w:rsidP="00206E52">
      <w:pPr>
        <w:jc w:val="both"/>
        <w:rPr>
          <w:lang w:val="en-US"/>
        </w:rPr>
      </w:pPr>
    </w:p>
    <w:p w14:paraId="3FB82A2E" w14:textId="17370533" w:rsidR="00206E52" w:rsidRDefault="00206E52" w:rsidP="00206E52">
      <w:pPr>
        <w:jc w:val="both"/>
        <w:rPr>
          <w:lang w:val="en-US"/>
        </w:rPr>
      </w:pPr>
    </w:p>
    <w:sectPr w:rsidR="00206E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E52"/>
    <w:rsid w:val="00206E52"/>
    <w:rsid w:val="002247D8"/>
    <w:rsid w:val="00455B9A"/>
    <w:rsid w:val="009A1066"/>
    <w:rsid w:val="00D53950"/>
    <w:rsid w:val="00E27616"/>
    <w:rsid w:val="00F42A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9FE14"/>
  <w15:chartTrackingRefBased/>
  <w15:docId w15:val="{5FD359DF-C205-415D-BBE4-1AEB18BBE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06E52"/>
    <w:rPr>
      <w:color w:val="0563C1" w:themeColor="hyperlink"/>
      <w:u w:val="single"/>
    </w:rPr>
  </w:style>
  <w:style w:type="character" w:styleId="Mencinsinresolver">
    <w:name w:val="Unresolved Mention"/>
    <w:basedOn w:val="Fuentedeprrafopredeter"/>
    <w:uiPriority w:val="99"/>
    <w:semiHidden/>
    <w:unhideWhenUsed/>
    <w:rsid w:val="00206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7195">
      <w:bodyDiv w:val="1"/>
      <w:marLeft w:val="0"/>
      <w:marRight w:val="0"/>
      <w:marTop w:val="0"/>
      <w:marBottom w:val="0"/>
      <w:divBdr>
        <w:top w:val="none" w:sz="0" w:space="0" w:color="auto"/>
        <w:left w:val="none" w:sz="0" w:space="0" w:color="auto"/>
        <w:bottom w:val="none" w:sz="0" w:space="0" w:color="auto"/>
        <w:right w:val="none" w:sz="0" w:space="0" w:color="auto"/>
      </w:divBdr>
      <w:divsChild>
        <w:div w:id="413867588">
          <w:marLeft w:val="0"/>
          <w:marRight w:val="0"/>
          <w:marTop w:val="0"/>
          <w:marBottom w:val="0"/>
          <w:divBdr>
            <w:top w:val="none" w:sz="0" w:space="0" w:color="auto"/>
            <w:left w:val="none" w:sz="0" w:space="0" w:color="auto"/>
            <w:bottom w:val="none" w:sz="0" w:space="0" w:color="auto"/>
            <w:right w:val="none" w:sz="0" w:space="0" w:color="auto"/>
          </w:divBdr>
        </w:div>
        <w:div w:id="612327080">
          <w:marLeft w:val="0"/>
          <w:marRight w:val="0"/>
          <w:marTop w:val="300"/>
          <w:marBottom w:val="300"/>
          <w:divBdr>
            <w:top w:val="none" w:sz="0" w:space="0" w:color="auto"/>
            <w:left w:val="none" w:sz="0" w:space="0" w:color="auto"/>
            <w:bottom w:val="none" w:sz="0" w:space="0" w:color="auto"/>
            <w:right w:val="none" w:sz="0" w:space="0" w:color="auto"/>
          </w:divBdr>
        </w:div>
        <w:div w:id="880751426">
          <w:marLeft w:val="0"/>
          <w:marRight w:val="0"/>
          <w:marTop w:val="600"/>
          <w:marBottom w:val="0"/>
          <w:divBdr>
            <w:top w:val="none" w:sz="0" w:space="0" w:color="auto"/>
            <w:left w:val="none" w:sz="0" w:space="0" w:color="auto"/>
            <w:bottom w:val="none" w:sz="0" w:space="0" w:color="auto"/>
            <w:right w:val="none" w:sz="0" w:space="0" w:color="auto"/>
          </w:divBdr>
          <w:divsChild>
            <w:div w:id="14885331">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1236551349">
      <w:bodyDiv w:val="1"/>
      <w:marLeft w:val="0"/>
      <w:marRight w:val="0"/>
      <w:marTop w:val="0"/>
      <w:marBottom w:val="0"/>
      <w:divBdr>
        <w:top w:val="none" w:sz="0" w:space="0" w:color="auto"/>
        <w:left w:val="none" w:sz="0" w:space="0" w:color="auto"/>
        <w:bottom w:val="none" w:sz="0" w:space="0" w:color="auto"/>
        <w:right w:val="none" w:sz="0" w:space="0" w:color="auto"/>
      </w:divBdr>
      <w:divsChild>
        <w:div w:id="306321905">
          <w:marLeft w:val="0"/>
          <w:marRight w:val="0"/>
          <w:marTop w:val="0"/>
          <w:marBottom w:val="0"/>
          <w:divBdr>
            <w:top w:val="none" w:sz="0" w:space="0" w:color="auto"/>
            <w:left w:val="none" w:sz="0" w:space="0" w:color="auto"/>
            <w:bottom w:val="none" w:sz="0" w:space="0" w:color="auto"/>
            <w:right w:val="none" w:sz="0" w:space="0" w:color="auto"/>
          </w:divBdr>
        </w:div>
        <w:div w:id="852262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efrag/" TargetMode="External"/><Relationship Id="rId13" Type="http://schemas.openxmlformats.org/officeDocument/2006/relationships/hyperlink" Target="http://www.efrag.org/Assets/Download?assetUrl=/sites/webpublishing/SiteAssets/TNFD+ESRS+Correspondence+mapping+Final.pdf" TargetMode="External"/><Relationship Id="rId18" Type="http://schemas.openxmlformats.org/officeDocument/2006/relationships/image" Target="media/image3.png"/><Relationship Id="rId3" Type="http://schemas.openxmlformats.org/officeDocument/2006/relationships/webSettings" Target="webSettings.xml"/><Relationship Id="rId21" Type="http://schemas.openxmlformats.org/officeDocument/2006/relationships/hyperlink" Target="mailto:Caroline.martins@efrag.org" TargetMode="External"/><Relationship Id="rId7" Type="http://schemas.openxmlformats.org/officeDocument/2006/relationships/hyperlink" Target="https://www.xbrl.org/tag/alignment/" TargetMode="External"/><Relationship Id="rId12" Type="http://schemas.openxmlformats.org/officeDocument/2006/relationships/image" Target="media/image2.png"/><Relationship Id="rId17" Type="http://schemas.openxmlformats.org/officeDocument/2006/relationships/hyperlink" Target="https://efrag.org/Assets/Download?assetUrl=%2Fsites%2Fwebpublishing%2FSiteAssets%2F240620%2520EFRAG-TNFD%2520press%2520release.pdf" TargetMode="External"/><Relationship Id="rId2" Type="http://schemas.openxmlformats.org/officeDocument/2006/relationships/settings" Target="settings.xml"/><Relationship Id="rId16" Type="http://schemas.openxmlformats.org/officeDocument/2006/relationships/hyperlink" Target="https://efrag.org/Assets/Download?assetUrl=%2Fsites%2Fwebpublishing%2FSiteAssets%2FTNFD%2520ESRS%2520Correspondence%2520mapping%2520Final.pdf" TargetMode="External"/><Relationship Id="rId20" Type="http://schemas.openxmlformats.org/officeDocument/2006/relationships/hyperlink" Target="mailto:Renu.sabherwal@tnfd.global" TargetMode="External"/><Relationship Id="rId1" Type="http://schemas.openxmlformats.org/officeDocument/2006/relationships/styles" Target="styles.xml"/><Relationship Id="rId6" Type="http://schemas.openxmlformats.org/officeDocument/2006/relationships/hyperlink" Target="https://efrag.org/News/Public-526/TNFD-and-EFRAG-publish-correspondence-mapping" TargetMode="External"/><Relationship Id="rId11" Type="http://schemas.openxmlformats.org/officeDocument/2006/relationships/hyperlink" Target="https://www.xbrl.org/tag/tnfd/" TargetMode="External"/><Relationship Id="rId5" Type="http://schemas.openxmlformats.org/officeDocument/2006/relationships/hyperlink" Target="https://www.xbrl.org/news/tnfd-and-efrag-publish-correspondence-mapping-enhancing-nature-related-disclosures/" TargetMode="External"/><Relationship Id="rId15" Type="http://schemas.openxmlformats.org/officeDocument/2006/relationships/hyperlink" Target="http://www.efrag.org/Assets/Download?assetUrl=/sites/webpublishing/SiteAssets/240620+EFRAG-TNFD+press+release.pdf" TargetMode="External"/><Relationship Id="rId23" Type="http://schemas.openxmlformats.org/officeDocument/2006/relationships/theme" Target="theme/theme1.xml"/><Relationship Id="rId10" Type="http://schemas.openxmlformats.org/officeDocument/2006/relationships/hyperlink" Target="https://www.xbrl.org/tag/sustainability/" TargetMode="External"/><Relationship Id="rId19" Type="http://schemas.openxmlformats.org/officeDocument/2006/relationships/image" Target="media/image4.png"/><Relationship Id="rId4" Type="http://schemas.openxmlformats.org/officeDocument/2006/relationships/image" Target="media/image1.jpeg"/><Relationship Id="rId9" Type="http://schemas.openxmlformats.org/officeDocument/2006/relationships/hyperlink" Target="https://www.xbrl.org/tag/esrs/" TargetMode="External"/><Relationship Id="rId14" Type="http://schemas.openxmlformats.org/officeDocument/2006/relationships/hyperlink" Target="http://www.efrag.org/Assets/Download?assetUrl=/sites/webpublishing/SiteAssets/TNFD+ESRS+Correspondence+mapping+Final.pdf"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3179</Words>
  <Characters>17490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5</cp:revision>
  <dcterms:created xsi:type="dcterms:W3CDTF">2024-07-04T23:38:00Z</dcterms:created>
  <dcterms:modified xsi:type="dcterms:W3CDTF">2024-08-13T03:57:00Z</dcterms:modified>
</cp:coreProperties>
</file>