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CCC6" w14:textId="776EEB16" w:rsidR="008374F2" w:rsidRDefault="008374F2" w:rsidP="008374F2">
      <w:pPr>
        <w:jc w:val="both"/>
        <w:rPr>
          <w:sz w:val="28"/>
          <w:szCs w:val="28"/>
        </w:rPr>
      </w:pPr>
      <w:r w:rsidRPr="008374F2">
        <w:rPr>
          <w:sz w:val="28"/>
          <w:szCs w:val="28"/>
        </w:rPr>
        <w:t>Tres desafíos de adquisición para proyectos de energía renovable</w:t>
      </w:r>
    </w:p>
    <w:p w14:paraId="7BF6C518" w14:textId="16478FD1" w:rsidR="008374F2" w:rsidRPr="008374F2" w:rsidRDefault="008374F2" w:rsidP="008374F2">
      <w:pPr>
        <w:jc w:val="both"/>
      </w:pPr>
      <w:r w:rsidRPr="008374F2">
        <w:rPr>
          <w:noProof/>
        </w:rPr>
        <w:drawing>
          <wp:inline distT="0" distB="0" distL="0" distR="0" wp14:anchorId="239DB057" wp14:editId="016EBFB2">
            <wp:extent cx="1943100" cy="1943100"/>
            <wp:effectExtent l="0" t="0" r="0" b="0"/>
            <wp:docPr id="2" name="Imagen 2"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44F42760" w14:textId="328065CF" w:rsidR="008374F2" w:rsidRPr="008374F2" w:rsidRDefault="008374F2" w:rsidP="008374F2">
      <w:pPr>
        <w:jc w:val="both"/>
        <w:rPr>
          <w:lang w:val="en-US"/>
        </w:rPr>
      </w:pPr>
      <w:r w:rsidRPr="008374F2">
        <w:rPr>
          <w:lang w:val="en-US"/>
        </w:rPr>
        <w:t>Por</w:t>
      </w:r>
      <w:r>
        <w:rPr>
          <w:lang w:val="en-US"/>
        </w:rPr>
        <w:t xml:space="preserve">: </w:t>
      </w:r>
      <w:hyperlink r:id="rId6" w:tooltip="Posts by Richard Black, Eversheds Sutherland" w:history="1">
        <w:r w:rsidRPr="008374F2">
          <w:rPr>
            <w:rStyle w:val="Hipervnculo"/>
            <w:lang w:val="en-US"/>
          </w:rPr>
          <w:t>Richard Black, Eversheds Sutherland</w:t>
        </w:r>
      </w:hyperlink>
    </w:p>
    <w:p w14:paraId="7A3982C1" w14:textId="77777777" w:rsidR="008374F2" w:rsidRPr="008374F2" w:rsidRDefault="008374F2" w:rsidP="008374F2">
      <w:pPr>
        <w:jc w:val="both"/>
        <w:rPr>
          <w:lang w:val="en-US"/>
        </w:rPr>
      </w:pPr>
      <w:r w:rsidRPr="008374F2">
        <w:rPr>
          <w:lang w:val="en-US"/>
        </w:rPr>
        <w:t>12 de julio de 2024</w:t>
      </w:r>
    </w:p>
    <w:p w14:paraId="0B5A3036" w14:textId="02CE73FB" w:rsidR="008374F2" w:rsidRPr="008374F2" w:rsidRDefault="008374F2" w:rsidP="008374F2">
      <w:pPr>
        <w:jc w:val="both"/>
        <w:rPr>
          <w:b/>
          <w:bCs/>
        </w:rPr>
      </w:pPr>
      <w:r w:rsidRPr="008374F2">
        <w:rPr>
          <w:b/>
          <w:bCs/>
        </w:rPr>
        <w:t>Los</w:t>
      </w:r>
      <w:r>
        <w:rPr>
          <w:b/>
          <w:bCs/>
        </w:rPr>
        <w:t xml:space="preserve"> </w:t>
      </w:r>
      <w:r w:rsidRPr="008374F2">
        <w:rPr>
          <w:b/>
          <w:bCs/>
        </w:rPr>
        <w:t>inversores deben ser conscientes de los grandes bloqueos al movimiento en la cadena de suministro de la construcción, dice Richard Black, socio de Eversheds Sutherland.</w:t>
      </w:r>
    </w:p>
    <w:p w14:paraId="1DF8321B" w14:textId="77777777" w:rsidR="008374F2" w:rsidRPr="008374F2" w:rsidRDefault="008374F2" w:rsidP="008374F2">
      <w:pPr>
        <w:jc w:val="both"/>
      </w:pPr>
      <w:r w:rsidRPr="008374F2">
        <w:t>La construcción depende en gran medida de la importación de bienes y materiales, y la adquisición es un elemento clave de la industria. Desafortunadamente, el proceso de abastecimiento, adquisición y pago de bienes se ha visto recientemente plagado de problemas, con factores globales como la pandemia, el Brexit y la guerra entre Rusia y Ucrania como factores que contribuyeron.</w:t>
      </w:r>
    </w:p>
    <w:p w14:paraId="55A6E8E9" w14:textId="1E0EB267" w:rsidR="008374F2" w:rsidRPr="008374F2" w:rsidRDefault="008374F2" w:rsidP="008374F2">
      <w:pPr>
        <w:jc w:val="both"/>
      </w:pPr>
      <w:r w:rsidRPr="008374F2">
        <w:t>En el Reino Unido y los EE.UU., estos desafíos de adquisición pueden hacer que sea extremadamente difícil entregar proyectos de energía renovable. Los artículos de larga duración, como baterías, inversores y turbinas, deben pedirse con muchos meses (o años) de antelación a la operación comercial. Y, sin embargo, los contratistas a menudo se encuentran con escasez de materiales durante la construcción, como cableado y semiconductores.</w:t>
      </w:r>
    </w:p>
    <w:p w14:paraId="7F4207D6" w14:textId="77777777" w:rsidR="008374F2" w:rsidRPr="008374F2" w:rsidRDefault="008374F2" w:rsidP="008374F2">
      <w:pPr>
        <w:jc w:val="both"/>
      </w:pPr>
      <w:r w:rsidRPr="008374F2">
        <w:t>Estos riesgos pueden dar lugar a retrasos y sobrecostes, lo que reduce los beneficios potenciales.</w:t>
      </w:r>
    </w:p>
    <w:p w14:paraId="23338ABD" w14:textId="77777777" w:rsidR="008374F2" w:rsidRPr="008374F2" w:rsidRDefault="008374F2" w:rsidP="008374F2">
      <w:pPr>
        <w:jc w:val="both"/>
      </w:pPr>
      <w:r w:rsidRPr="008374F2">
        <w:t>En este artículo, analizamos lo que los inversores deben saber sobre los tres principales desafíos de contratación que los proyectos de energías renovables tienen que negociar, sus orígenes y cómo las partes pueden tratar de mitigarlos.</w:t>
      </w:r>
    </w:p>
    <w:p w14:paraId="0B5E4104" w14:textId="77777777" w:rsidR="008374F2" w:rsidRPr="008374F2" w:rsidRDefault="008374F2" w:rsidP="008374F2">
      <w:pPr>
        <w:jc w:val="both"/>
        <w:rPr>
          <w:b/>
          <w:bCs/>
        </w:rPr>
      </w:pPr>
      <w:r w:rsidRPr="008374F2">
        <w:rPr>
          <w:b/>
          <w:bCs/>
        </w:rPr>
        <w:t>Diversificación y visibilidad frente a las sanciones</w:t>
      </w:r>
    </w:p>
    <w:p w14:paraId="39F0ED74" w14:textId="77777777" w:rsidR="008374F2" w:rsidRPr="008374F2" w:rsidRDefault="008374F2" w:rsidP="008374F2">
      <w:pPr>
        <w:jc w:val="both"/>
      </w:pPr>
      <w:r w:rsidRPr="008374F2">
        <w:t>Tras el Brexit, estamos viendo una reticencia general de los proveedores a suministrar en el Reino Unido sobre la base de la entrega de derechos pagados (es decir, el vendedor entrega las mercancías por su cuenta y riesgo), principalmente porque aún no están preparados para hacer frente a los trámites aduaneros del Reino Unido. Y lo que es más importante, existen incertidumbres en cuanto a su capacidad para recuperar el IVA a la importación incluso si son propietarios de los bienes en el momento de la importación, a menos que tengan una presencia establecida en el Reino Unido.</w:t>
      </w:r>
    </w:p>
    <w:p w14:paraId="6AD23B0D" w14:textId="77777777" w:rsidR="008374F2" w:rsidRPr="008374F2" w:rsidRDefault="008374F2" w:rsidP="008374F2">
      <w:pPr>
        <w:jc w:val="both"/>
      </w:pPr>
      <w:r w:rsidRPr="008374F2">
        <w:t>Esto ha dado lugar a negociaciones sobre la forma en que deben asignarse y mitigarse los riesgos derivados de las reglamentaciones aduaneras y de importación.</w:t>
      </w:r>
    </w:p>
    <w:p w14:paraId="1E305F9B" w14:textId="77777777" w:rsidR="008374F2" w:rsidRPr="008374F2" w:rsidRDefault="008374F2" w:rsidP="008374F2">
      <w:pPr>
        <w:jc w:val="both"/>
      </w:pPr>
      <w:r w:rsidRPr="008374F2">
        <w:lastRenderedPageBreak/>
        <w:t>A nivel internacional, las sanciones globales que diferentes jurisdicciones han introducido en respuesta a la guerra en Ucrania también han provocado interrupciones en las cadenas de suministro. La necesidad de considerar la aplicación de diferentes regímenes de sanciones (y las diferencias entre ellos), y su impacto comercial, han creado incertidumbres sobre la medida en que las empresas pueden seguir adquiriendo productos y tecnología de sus proveedores en Asia, Europa, Oriente Medio y Estados Unidos, lo que lleva a plazos de entrega impredecibles y a un aumento de los costos.</w:t>
      </w:r>
    </w:p>
    <w:p w14:paraId="40D076C7" w14:textId="77777777" w:rsidR="008374F2" w:rsidRPr="008374F2" w:rsidRDefault="008374F2" w:rsidP="008374F2">
      <w:pPr>
        <w:jc w:val="both"/>
      </w:pPr>
      <w:r w:rsidRPr="008374F2">
        <w:t>Esto tiene un impacto particular en los proyectos de energía renovable, que dependen de nuevas tecnologías y productos que a menudo se fabrican en Europa o Asia.</w:t>
      </w:r>
    </w:p>
    <w:p w14:paraId="18699659" w14:textId="77777777" w:rsidR="008374F2" w:rsidRPr="008374F2" w:rsidRDefault="008374F2" w:rsidP="008374F2">
      <w:pPr>
        <w:jc w:val="both"/>
      </w:pPr>
      <w:r w:rsidRPr="008374F2">
        <w:t>Las empresas globales, tanto en el lado de la demanda como en el de la oferta, tienen que reaccionar y superar estos desafíos. En la práctica, aconsejamos a nuestros clientes que mejoren la visibilidad de la cadena de suministro y reduzcan el riesgo de las cadenas de suministro, por ejemplo, reconsiderando y/o diversificando sus fuentes de bienes y materiales. Los proveedores también tienen que mejorar activamente sus controles internos y la gestión de sus proveedores upstream, con el fin de satisfacer las demandas no solo de sus clientes, sino también de los banqueros e inversores. En algunos casos, esta ha sido una curva de aprendizaje empinada, pero que es necesaria, especialmente cuando se considera la necesidad de una cadena de suministro socialmente consciente y que cumpla con las normas.</w:t>
      </w:r>
    </w:p>
    <w:p w14:paraId="25B996F2" w14:textId="77777777" w:rsidR="008374F2" w:rsidRPr="008374F2" w:rsidRDefault="008374F2" w:rsidP="008374F2">
      <w:pPr>
        <w:jc w:val="both"/>
      </w:pPr>
      <w:r w:rsidRPr="008374F2">
        <w:t>Tomar estas medidas proactivas para reducir el riesgo de suministro requerirá inversiones, y los costos asociados a menudo se transfieren a los desarrolladores, lo que a su vez aumentará los costos de construcción.</w:t>
      </w:r>
    </w:p>
    <w:p w14:paraId="5BE087BF" w14:textId="77777777" w:rsidR="008374F2" w:rsidRPr="008374F2" w:rsidRDefault="008374F2" w:rsidP="008374F2">
      <w:pPr>
        <w:jc w:val="both"/>
      </w:pPr>
      <w:r w:rsidRPr="008374F2">
        <w:t>Para combatir estos problemas, las partes en los contratos de suministro y construcción deben colaborar, evaluar los riesgos pertinentes y considerar alternativas conjuntamente para evitar una dependencia excesiva de un proveedor en particular que cree exposición desde la perspectiva de las sanciones.</w:t>
      </w:r>
    </w:p>
    <w:p w14:paraId="4FC48F51" w14:textId="77777777" w:rsidR="008374F2" w:rsidRPr="008374F2" w:rsidRDefault="008374F2" w:rsidP="008374F2">
      <w:pPr>
        <w:jc w:val="both"/>
      </w:pPr>
      <w:r w:rsidRPr="008374F2">
        <w:t>Los desarrolladores también deben buscar formas de protegerse, incluida la garantía de tener la capacidad de rescindir el contrato a voluntad si el acuerdo de suministro se vuelve comercialmente irrazonable.</w:t>
      </w:r>
    </w:p>
    <w:p w14:paraId="42BAE39A" w14:textId="77777777" w:rsidR="008374F2" w:rsidRPr="008374F2" w:rsidRDefault="008374F2" w:rsidP="008374F2">
      <w:pPr>
        <w:jc w:val="both"/>
        <w:rPr>
          <w:b/>
          <w:bCs/>
        </w:rPr>
      </w:pPr>
      <w:r w:rsidRPr="008374F2">
        <w:rPr>
          <w:b/>
          <w:bCs/>
        </w:rPr>
        <w:t>Inflación</w:t>
      </w:r>
    </w:p>
    <w:p w14:paraId="16BA683C" w14:textId="77777777" w:rsidR="008374F2" w:rsidRPr="008374F2" w:rsidRDefault="008374F2" w:rsidP="008374F2">
      <w:pPr>
        <w:jc w:val="both"/>
      </w:pPr>
      <w:r w:rsidRPr="008374F2">
        <w:t>Los acontecimientos geopolíticos también tienen un profundo impacto en la inflación. Los proyectos de construcción dependen de materiales importados y, a medida que aumenta la inflación, los precios de estos materiales también aumentan.</w:t>
      </w:r>
    </w:p>
    <w:p w14:paraId="083D7EBF" w14:textId="77777777" w:rsidR="008374F2" w:rsidRPr="008374F2" w:rsidRDefault="008374F2" w:rsidP="008374F2">
      <w:pPr>
        <w:jc w:val="both"/>
      </w:pPr>
      <w:r w:rsidRPr="008374F2">
        <w:t>Tradicionalmente, los empleadores tenían el beneficio de un contrato de precio fijo y los contratistas asumían el riesgo de la inflación, lo que protegía la inversión. Sin embargo, en la actual coyuntura económica, los contratistas están aumentando artificialmente sus precios para hacer frente a este riesgo o manteniendo los precios de las ofertas durante breves períodos de tiempo.</w:t>
      </w:r>
    </w:p>
    <w:p w14:paraId="3A341AA9" w14:textId="77777777" w:rsidR="008374F2" w:rsidRPr="008374F2" w:rsidRDefault="008374F2" w:rsidP="008374F2">
      <w:pPr>
        <w:jc w:val="both"/>
      </w:pPr>
      <w:r w:rsidRPr="008374F2">
        <w:t xml:space="preserve">Se pueden adoptar estrategias para ayudar a abordar de manera proactiva el riesgo de inflación, tales como: incluir disposiciones para fluctuaciones; ingeniería de valor, para ayudar a identificar y </w:t>
      </w:r>
      <w:r w:rsidRPr="008374F2">
        <w:lastRenderedPageBreak/>
        <w:t>eliminar cualquier elemento innecesario o derrochador; y trabajar en colaboración con los contratistas para obtener suministros alternativos.</w:t>
      </w:r>
    </w:p>
    <w:p w14:paraId="7BEFA4DA" w14:textId="77777777" w:rsidR="008374F2" w:rsidRPr="008374F2" w:rsidRDefault="008374F2" w:rsidP="008374F2">
      <w:pPr>
        <w:jc w:val="both"/>
      </w:pPr>
      <w:r w:rsidRPr="008374F2">
        <w:t>La volatilidad del mercado también ha hecho que la obtención de materiales sea más difícil y más cara. Existe una mayor presión sobre los empleadores para que paguen los materiales por adelantado, con el fin de garantizar su disponibilidad y precio.</w:t>
      </w:r>
    </w:p>
    <w:p w14:paraId="339428C5" w14:textId="62825866" w:rsidR="008374F2" w:rsidRPr="008374F2" w:rsidRDefault="008374F2" w:rsidP="008374F2">
      <w:pPr>
        <w:jc w:val="both"/>
      </w:pPr>
      <w:r w:rsidRPr="008374F2">
        <w:t xml:space="preserve">Para evitar que la insolvencia de la cadena de suministro ponga en riesgo estos pagos anticipados, es aconsejable que los empleadores tomen ciertas medidas, como incluir protecciones contractuales adicionales (por ejemplo, almacenar mercancías por separado y marcarlas por encargo, cláusulas de reserva de dominio, </w:t>
      </w:r>
      <w:r w:rsidR="001344F2" w:rsidRPr="008374F2">
        <w:t>etcétera</w:t>
      </w:r>
      <w:r w:rsidRPr="008374F2">
        <w:t>); la obtención de un certificado de adquisición de derechos y/o la obtención de una fianza de pago anticipado.</w:t>
      </w:r>
    </w:p>
    <w:p w14:paraId="55ECE4DB" w14:textId="77777777" w:rsidR="008374F2" w:rsidRPr="008374F2" w:rsidRDefault="008374F2" w:rsidP="008374F2">
      <w:pPr>
        <w:jc w:val="both"/>
        <w:rPr>
          <w:b/>
          <w:bCs/>
        </w:rPr>
      </w:pPr>
      <w:r w:rsidRPr="008374F2">
        <w:rPr>
          <w:b/>
          <w:bCs/>
        </w:rPr>
        <w:t>Escasez de mano de obra</w:t>
      </w:r>
    </w:p>
    <w:p w14:paraId="7C1496D9" w14:textId="77777777" w:rsidR="008374F2" w:rsidRPr="008374F2" w:rsidRDefault="008374F2" w:rsidP="008374F2">
      <w:pPr>
        <w:jc w:val="both"/>
      </w:pPr>
      <w:r w:rsidRPr="008374F2">
        <w:t>Actualmente existe una escasez de mano de obra cualificada en todo el mundo, como consecuencia de los cambios en las prácticas laborales tras la COVID-19, las restricciones locales de viaje o de visados (por ejemplo, el Brexit y la guerra de Ucrania), y también la afluencia de nuevas tecnologías que requieren habilidades y conocimientos especializados.</w:t>
      </w:r>
    </w:p>
    <w:p w14:paraId="3CEBF540" w14:textId="77777777" w:rsidR="008374F2" w:rsidRPr="008374F2" w:rsidRDefault="008374F2" w:rsidP="008374F2">
      <w:pPr>
        <w:jc w:val="both"/>
      </w:pPr>
      <w:r w:rsidRPr="008374F2">
        <w:t>Los contratistas pueden enfrentarse a un aumento de los costes laborales debido a la menor disponibilidad de trabajadores y a la necesidad de ofrecer salarios más altos o incentivos para atraer y retener personal, lo que afecta al flujo de caja y a la solvencia.</w:t>
      </w:r>
    </w:p>
    <w:p w14:paraId="432C59D0" w14:textId="77777777" w:rsidR="008374F2" w:rsidRPr="008374F2" w:rsidRDefault="008374F2" w:rsidP="008374F2">
      <w:pPr>
        <w:jc w:val="both"/>
      </w:pPr>
      <w:r w:rsidRPr="008374F2">
        <w:t>Esto ha dado lugar a que los contratistas se muestren reacios a asumir cualquier obligación que les obligue a prestar servicios in situ, incluida la rectificación de trabajos defectuosos. De hecho, puede ser más rentable que las mercancías defectuosas se transporten de vuelta a los proveedores para su rectificación en sus instalaciones y luego se devuelvan y/o se sustituyan; y que los servicios de mantenimiento se presten a distancia.</w:t>
      </w:r>
    </w:p>
    <w:p w14:paraId="177E57EF" w14:textId="77777777" w:rsidR="008374F2" w:rsidRPr="008374F2" w:rsidRDefault="008374F2" w:rsidP="008374F2">
      <w:pPr>
        <w:jc w:val="both"/>
      </w:pPr>
      <w:r w:rsidRPr="008374F2">
        <w:t>Como tal, vale la pena que las partes consideren tales opciones alternativas (incluso si está claro quién asume el riesgo contractualmente), para resolver estos problemas y permitir que las partes se concentren en el objetivo final de un proyecto completado con éxito.</w:t>
      </w:r>
    </w:p>
    <w:p w14:paraId="6500175B" w14:textId="77777777" w:rsidR="008374F2" w:rsidRPr="008374F2" w:rsidRDefault="008374F2" w:rsidP="008374F2">
      <w:pPr>
        <w:jc w:val="both"/>
        <w:rPr>
          <w:b/>
          <w:bCs/>
        </w:rPr>
      </w:pPr>
      <w:r w:rsidRPr="008374F2">
        <w:rPr>
          <w:b/>
          <w:bCs/>
        </w:rPr>
        <w:t>Eventos futuros</w:t>
      </w:r>
    </w:p>
    <w:p w14:paraId="4F8CEC5A" w14:textId="77777777" w:rsidR="008374F2" w:rsidRPr="008374F2" w:rsidRDefault="008374F2" w:rsidP="008374F2">
      <w:pPr>
        <w:jc w:val="both"/>
      </w:pPr>
      <w:r w:rsidRPr="008374F2">
        <w:t>No se puede subestimar el impacto de los acontecimientos mundiales y en los proyectos de energía renovable. Con las próximas elecciones en EE.UU. y la posible mayor volatilidad del mercado, es poco probable que la posición mejore pronto.</w:t>
      </w:r>
    </w:p>
    <w:p w14:paraId="6C5420EB" w14:textId="77777777" w:rsidR="008374F2" w:rsidRPr="008374F2" w:rsidRDefault="008374F2" w:rsidP="008374F2">
      <w:pPr>
        <w:jc w:val="both"/>
      </w:pPr>
      <w:r w:rsidRPr="008374F2">
        <w:t>Los proveedores internacionales seguirán teniendo que ser ágiles y tendrán que tomar medidas para que sus cadenas de suministro sean sólidas, lo que supondrá un reto y también puede hacer subir los precios, pero ayudará a preparar sus negocios para el futuro.</w:t>
      </w:r>
    </w:p>
    <w:p w14:paraId="727FCA9C" w14:textId="77777777" w:rsidR="008374F2" w:rsidRPr="008374F2" w:rsidRDefault="008374F2" w:rsidP="008374F2">
      <w:pPr>
        <w:jc w:val="both"/>
      </w:pPr>
      <w:r w:rsidRPr="008374F2">
        <w:t>Los promotores tendrán que poner en marcha estrategias de adquisición estratégicas y meditadas para garantizar que estén alineadas con las condiciones y los riesgos del mercado, proporcionando suficiente flexibilidad y protección ante imprevistos.</w:t>
      </w:r>
    </w:p>
    <w:p w14:paraId="2B8CAA99" w14:textId="77777777" w:rsidR="008374F2" w:rsidRPr="008374F2" w:rsidRDefault="008374F2" w:rsidP="008374F2">
      <w:pPr>
        <w:jc w:val="both"/>
      </w:pPr>
      <w:r w:rsidRPr="008374F2">
        <w:t xml:space="preserve">Y los inversores que quieran adentrarse en el espacio de las energías renovables no solo querrán ser conscientes de los riesgos de las sanciones, la inflación y la escasez de mano de obra, sino también </w:t>
      </w:r>
      <w:r w:rsidRPr="008374F2">
        <w:lastRenderedPageBreak/>
        <w:t>de que hay formas claras de trabajar en este nuevo mundo en el que nos encontramos y seguir completando proyectos importantes y emocionantes.</w:t>
      </w:r>
    </w:p>
    <w:p w14:paraId="4E798706" w14:textId="3C9B49B9" w:rsidR="008374F2" w:rsidRPr="008374F2" w:rsidRDefault="008374F2" w:rsidP="008374F2">
      <w:pPr>
        <w:jc w:val="both"/>
      </w:pPr>
      <w:r w:rsidRPr="008374F2">
        <w:rPr>
          <w:i/>
          <w:iCs/>
        </w:rPr>
        <w:t>Este artículo fue coescrito por Jocelyn Chow, socia de la oficina de Eversheds Sutherland en Hong Kong, que lidera su práctica de</w:t>
      </w:r>
      <w:r w:rsidR="001344F2">
        <w:rPr>
          <w:i/>
          <w:iCs/>
        </w:rPr>
        <w:t xml:space="preserve"> </w:t>
      </w:r>
      <w:r w:rsidRPr="008374F2">
        <w:rPr>
          <w:i/>
          <w:iCs/>
        </w:rPr>
        <w:t>competencia, comercio e inversión extranjera</w:t>
      </w:r>
      <w:r w:rsidR="001344F2">
        <w:rPr>
          <w:i/>
          <w:iCs/>
        </w:rPr>
        <w:t xml:space="preserve"> </w:t>
      </w:r>
      <w:r w:rsidRPr="008374F2">
        <w:t>en Asia</w:t>
      </w:r>
      <w:r w:rsidRPr="008374F2">
        <w:rPr>
          <w:i/>
          <w:iCs/>
        </w:rPr>
        <w:t>.</w:t>
      </w:r>
    </w:p>
    <w:p w14:paraId="6B5B29B9" w14:textId="37F6D8EF" w:rsidR="008374F2" w:rsidRPr="008374F2" w:rsidRDefault="008374F2" w:rsidP="008374F2">
      <w:pPr>
        <w:jc w:val="both"/>
      </w:pPr>
      <w:r w:rsidRPr="008374F2">
        <w:t>ARTÍCULOS RELACIONADOS:</w:t>
      </w:r>
      <w:r w:rsidR="001344F2">
        <w:t xml:space="preserve"> </w:t>
      </w:r>
      <w:hyperlink r:id="rId7" w:history="1">
        <w:r w:rsidRPr="008374F2">
          <w:rPr>
            <w:rStyle w:val="Hipervnculo"/>
          </w:rPr>
          <w:t>ENERGÍA LIMPIA,</w:t>
        </w:r>
      </w:hyperlink>
      <w:r w:rsidR="001344F2">
        <w:rPr>
          <w:rStyle w:val="Hipervnculo"/>
        </w:rPr>
        <w:t xml:space="preserve"> </w:t>
      </w:r>
      <w:hyperlink r:id="rId8" w:history="1">
        <w:r w:rsidRPr="008374F2">
          <w:rPr>
            <w:rStyle w:val="Hipervnculo"/>
          </w:rPr>
          <w:t>TRANSICIÓN ENERGÉTICA,</w:t>
        </w:r>
      </w:hyperlink>
      <w:r>
        <w:t xml:space="preserve"> </w:t>
      </w:r>
      <w:hyperlink r:id="rId9" w:history="1">
        <w:r w:rsidRPr="008374F2">
          <w:rPr>
            <w:rStyle w:val="Hipervnculo"/>
          </w:rPr>
          <w:t>INFRAESTRUCTURA,</w:t>
        </w:r>
      </w:hyperlink>
      <w:r>
        <w:t xml:space="preserve"> </w:t>
      </w:r>
      <w:hyperlink r:id="rId10" w:history="1">
        <w:r w:rsidRPr="008374F2">
          <w:rPr>
            <w:rStyle w:val="Hipervnculo"/>
          </w:rPr>
          <w:t>ENERGÍAS RENOVABLES,</w:t>
        </w:r>
      </w:hyperlink>
      <w:r>
        <w:t xml:space="preserve"> </w:t>
      </w:r>
      <w:hyperlink r:id="rId11" w:history="1">
        <w:r w:rsidRPr="008374F2">
          <w:rPr>
            <w:rStyle w:val="Hipervnculo"/>
          </w:rPr>
          <w:t>RIESGO DE LA CADENA DE SUMINISTRO,</w:t>
        </w:r>
      </w:hyperlink>
      <w:r w:rsidR="001344F2">
        <w:rPr>
          <w:rStyle w:val="Hipervnculo"/>
        </w:rPr>
        <w:t xml:space="preserve"> </w:t>
      </w:r>
      <w:hyperlink r:id="rId12" w:history="1">
        <w:r w:rsidRPr="008374F2">
          <w:rPr>
            <w:rStyle w:val="Hipervnculo"/>
          </w:rPr>
          <w:t>CADENAS DE SUMINISTRO</w:t>
        </w:r>
      </w:hyperlink>
    </w:p>
    <w:p w14:paraId="51AE690B" w14:textId="77777777" w:rsidR="00571DB8" w:rsidRDefault="00571DB8" w:rsidP="008374F2">
      <w:pPr>
        <w:jc w:val="both"/>
      </w:pPr>
    </w:p>
    <w:sectPr w:rsidR="00571D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36B92"/>
    <w:multiLevelType w:val="multilevel"/>
    <w:tmpl w:val="3C1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14609F"/>
    <w:multiLevelType w:val="multilevel"/>
    <w:tmpl w:val="E51C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F2"/>
    <w:rsid w:val="001344F2"/>
    <w:rsid w:val="00571DB8"/>
    <w:rsid w:val="008374F2"/>
    <w:rsid w:val="00AD51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D1A6"/>
  <w15:chartTrackingRefBased/>
  <w15:docId w15:val="{B10AD1E2-EABD-4AEC-8703-B0F310AD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74F2"/>
    <w:rPr>
      <w:color w:val="0563C1" w:themeColor="hyperlink"/>
      <w:u w:val="single"/>
    </w:rPr>
  </w:style>
  <w:style w:type="character" w:styleId="Mencinsinresolver">
    <w:name w:val="Unresolved Mention"/>
    <w:basedOn w:val="Fuentedeprrafopredeter"/>
    <w:uiPriority w:val="99"/>
    <w:semiHidden/>
    <w:unhideWhenUsed/>
    <w:rsid w:val="00837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91611">
      <w:bodyDiv w:val="1"/>
      <w:marLeft w:val="0"/>
      <w:marRight w:val="0"/>
      <w:marTop w:val="0"/>
      <w:marBottom w:val="0"/>
      <w:divBdr>
        <w:top w:val="none" w:sz="0" w:space="0" w:color="auto"/>
        <w:left w:val="none" w:sz="0" w:space="0" w:color="auto"/>
        <w:bottom w:val="none" w:sz="0" w:space="0" w:color="auto"/>
        <w:right w:val="none" w:sz="0" w:space="0" w:color="auto"/>
      </w:divBdr>
      <w:divsChild>
        <w:div w:id="7677879">
          <w:marLeft w:val="0"/>
          <w:marRight w:val="0"/>
          <w:marTop w:val="150"/>
          <w:marBottom w:val="0"/>
          <w:divBdr>
            <w:top w:val="none" w:sz="0" w:space="0" w:color="auto"/>
            <w:left w:val="none" w:sz="0" w:space="0" w:color="auto"/>
            <w:bottom w:val="none" w:sz="0" w:space="0" w:color="auto"/>
            <w:right w:val="none" w:sz="0" w:space="0" w:color="auto"/>
          </w:divBdr>
          <w:divsChild>
            <w:div w:id="779180722">
              <w:marLeft w:val="-1050"/>
              <w:marRight w:val="0"/>
              <w:marTop w:val="0"/>
              <w:marBottom w:val="0"/>
              <w:divBdr>
                <w:top w:val="none" w:sz="0" w:space="0" w:color="auto"/>
                <w:left w:val="none" w:sz="0" w:space="0" w:color="auto"/>
                <w:bottom w:val="none" w:sz="0" w:space="0" w:color="auto"/>
                <w:right w:val="none" w:sz="0" w:space="0" w:color="auto"/>
              </w:divBdr>
              <w:divsChild>
                <w:div w:id="549269830">
                  <w:marLeft w:val="0"/>
                  <w:marRight w:val="300"/>
                  <w:marTop w:val="0"/>
                  <w:marBottom w:val="0"/>
                  <w:divBdr>
                    <w:top w:val="none" w:sz="0" w:space="0" w:color="auto"/>
                    <w:left w:val="none" w:sz="0" w:space="0" w:color="auto"/>
                    <w:bottom w:val="none" w:sz="0" w:space="0" w:color="auto"/>
                    <w:right w:val="none" w:sz="0" w:space="0" w:color="auto"/>
                  </w:divBdr>
                </w:div>
                <w:div w:id="1384983583">
                  <w:marLeft w:val="1050"/>
                  <w:marRight w:val="0"/>
                  <w:marTop w:val="0"/>
                  <w:marBottom w:val="0"/>
                  <w:divBdr>
                    <w:top w:val="none" w:sz="0" w:space="0" w:color="auto"/>
                    <w:left w:val="none" w:sz="0" w:space="0" w:color="auto"/>
                    <w:bottom w:val="none" w:sz="0" w:space="0" w:color="auto"/>
                    <w:right w:val="none" w:sz="0" w:space="0" w:color="auto"/>
                  </w:divBdr>
                  <w:divsChild>
                    <w:div w:id="1974019447">
                      <w:marLeft w:val="0"/>
                      <w:marRight w:val="0"/>
                      <w:marTop w:val="75"/>
                      <w:marBottom w:val="0"/>
                      <w:divBdr>
                        <w:top w:val="none" w:sz="0" w:space="0" w:color="auto"/>
                        <w:left w:val="none" w:sz="0" w:space="0" w:color="auto"/>
                        <w:bottom w:val="none" w:sz="0" w:space="0" w:color="auto"/>
                        <w:right w:val="none" w:sz="0" w:space="0" w:color="auto"/>
                      </w:divBdr>
                      <w:divsChild>
                        <w:div w:id="1087384718">
                          <w:marLeft w:val="0"/>
                          <w:marRight w:val="0"/>
                          <w:marTop w:val="0"/>
                          <w:marBottom w:val="75"/>
                          <w:divBdr>
                            <w:top w:val="none" w:sz="0" w:space="0" w:color="auto"/>
                            <w:left w:val="none" w:sz="0" w:space="0" w:color="auto"/>
                            <w:bottom w:val="single" w:sz="6" w:space="4" w:color="DDDDDD"/>
                            <w:right w:val="none" w:sz="0" w:space="0" w:color="auto"/>
                          </w:divBdr>
                          <w:divsChild>
                            <w:div w:id="1775401417">
                              <w:marLeft w:val="0"/>
                              <w:marRight w:val="0"/>
                              <w:marTop w:val="0"/>
                              <w:marBottom w:val="0"/>
                              <w:divBdr>
                                <w:top w:val="none" w:sz="0" w:space="0" w:color="auto"/>
                                <w:left w:val="none" w:sz="0" w:space="0" w:color="auto"/>
                                <w:bottom w:val="none" w:sz="0" w:space="0" w:color="auto"/>
                                <w:right w:val="none" w:sz="0" w:space="0" w:color="auto"/>
                              </w:divBdr>
                            </w:div>
                          </w:divsChild>
                        </w:div>
                        <w:div w:id="13050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65363">
          <w:marLeft w:val="0"/>
          <w:marRight w:val="0"/>
          <w:marTop w:val="0"/>
          <w:marBottom w:val="0"/>
          <w:divBdr>
            <w:top w:val="none" w:sz="0" w:space="0" w:color="auto"/>
            <w:left w:val="none" w:sz="0" w:space="0" w:color="auto"/>
            <w:bottom w:val="none" w:sz="0" w:space="0" w:color="auto"/>
            <w:right w:val="none" w:sz="0" w:space="0" w:color="auto"/>
          </w:divBdr>
          <w:divsChild>
            <w:div w:id="1304503837">
              <w:marLeft w:val="0"/>
              <w:marRight w:val="0"/>
              <w:marTop w:val="0"/>
              <w:marBottom w:val="0"/>
              <w:divBdr>
                <w:top w:val="none" w:sz="0" w:space="0" w:color="auto"/>
                <w:left w:val="none" w:sz="0" w:space="0" w:color="auto"/>
                <w:bottom w:val="none" w:sz="0" w:space="0" w:color="auto"/>
                <w:right w:val="none" w:sz="0" w:space="0" w:color="auto"/>
              </w:divBdr>
              <w:divsChild>
                <w:div w:id="1710687214">
                  <w:marLeft w:val="0"/>
                  <w:marRight w:val="0"/>
                  <w:marTop w:val="0"/>
                  <w:marBottom w:val="0"/>
                  <w:divBdr>
                    <w:top w:val="none" w:sz="0" w:space="0" w:color="auto"/>
                    <w:left w:val="none" w:sz="0" w:space="0" w:color="auto"/>
                    <w:bottom w:val="none" w:sz="0" w:space="0" w:color="auto"/>
                    <w:right w:val="none" w:sz="0" w:space="0" w:color="auto"/>
                  </w:divBdr>
                  <w:divsChild>
                    <w:div w:id="1475947182">
                      <w:marLeft w:val="0"/>
                      <w:marRight w:val="0"/>
                      <w:marTop w:val="0"/>
                      <w:marBottom w:val="0"/>
                      <w:divBdr>
                        <w:top w:val="none" w:sz="0" w:space="0" w:color="auto"/>
                        <w:left w:val="none" w:sz="0" w:space="0" w:color="auto"/>
                        <w:bottom w:val="none" w:sz="0" w:space="0" w:color="auto"/>
                        <w:right w:val="none" w:sz="0" w:space="0" w:color="auto"/>
                      </w:divBdr>
                      <w:divsChild>
                        <w:div w:id="786587509">
                          <w:marLeft w:val="0"/>
                          <w:marRight w:val="0"/>
                          <w:marTop w:val="375"/>
                          <w:marBottom w:val="375"/>
                          <w:divBdr>
                            <w:top w:val="none" w:sz="0" w:space="0" w:color="auto"/>
                            <w:left w:val="none" w:sz="0" w:space="0" w:color="auto"/>
                            <w:bottom w:val="none" w:sz="0" w:space="0" w:color="auto"/>
                            <w:right w:val="none" w:sz="0" w:space="0" w:color="auto"/>
                          </w:divBdr>
                          <w:divsChild>
                            <w:div w:id="1402288316">
                              <w:marLeft w:val="0"/>
                              <w:marRight w:val="0"/>
                              <w:marTop w:val="0"/>
                              <w:marBottom w:val="0"/>
                              <w:divBdr>
                                <w:top w:val="none" w:sz="0" w:space="0" w:color="auto"/>
                                <w:left w:val="none" w:sz="0" w:space="0" w:color="auto"/>
                                <w:bottom w:val="none" w:sz="0" w:space="0" w:color="auto"/>
                                <w:right w:val="none" w:sz="0" w:space="0" w:color="auto"/>
                              </w:divBdr>
                            </w:div>
                          </w:divsChild>
                        </w:div>
                        <w:div w:id="827788610">
                          <w:marLeft w:val="0"/>
                          <w:marRight w:val="0"/>
                          <w:marTop w:val="0"/>
                          <w:marBottom w:val="450"/>
                          <w:divBdr>
                            <w:top w:val="none" w:sz="0" w:space="0" w:color="auto"/>
                            <w:left w:val="none" w:sz="0" w:space="0" w:color="auto"/>
                            <w:bottom w:val="none" w:sz="0" w:space="0" w:color="auto"/>
                            <w:right w:val="none" w:sz="0" w:space="0" w:color="auto"/>
                          </w:divBdr>
                        </w:div>
                        <w:div w:id="7202529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44468885">
      <w:bodyDiv w:val="1"/>
      <w:marLeft w:val="0"/>
      <w:marRight w:val="0"/>
      <w:marTop w:val="0"/>
      <w:marBottom w:val="0"/>
      <w:divBdr>
        <w:top w:val="none" w:sz="0" w:space="0" w:color="auto"/>
        <w:left w:val="none" w:sz="0" w:space="0" w:color="auto"/>
        <w:bottom w:val="none" w:sz="0" w:space="0" w:color="auto"/>
        <w:right w:val="none" w:sz="0" w:space="0" w:color="auto"/>
      </w:divBdr>
      <w:divsChild>
        <w:div w:id="1146434462">
          <w:marLeft w:val="0"/>
          <w:marRight w:val="0"/>
          <w:marTop w:val="150"/>
          <w:marBottom w:val="0"/>
          <w:divBdr>
            <w:top w:val="none" w:sz="0" w:space="0" w:color="auto"/>
            <w:left w:val="none" w:sz="0" w:space="0" w:color="auto"/>
            <w:bottom w:val="none" w:sz="0" w:space="0" w:color="auto"/>
            <w:right w:val="none" w:sz="0" w:space="0" w:color="auto"/>
          </w:divBdr>
          <w:divsChild>
            <w:div w:id="1342968631">
              <w:marLeft w:val="-1050"/>
              <w:marRight w:val="0"/>
              <w:marTop w:val="0"/>
              <w:marBottom w:val="0"/>
              <w:divBdr>
                <w:top w:val="none" w:sz="0" w:space="0" w:color="auto"/>
                <w:left w:val="none" w:sz="0" w:space="0" w:color="auto"/>
                <w:bottom w:val="none" w:sz="0" w:space="0" w:color="auto"/>
                <w:right w:val="none" w:sz="0" w:space="0" w:color="auto"/>
              </w:divBdr>
              <w:divsChild>
                <w:div w:id="1174416184">
                  <w:marLeft w:val="0"/>
                  <w:marRight w:val="300"/>
                  <w:marTop w:val="0"/>
                  <w:marBottom w:val="0"/>
                  <w:divBdr>
                    <w:top w:val="none" w:sz="0" w:space="0" w:color="auto"/>
                    <w:left w:val="none" w:sz="0" w:space="0" w:color="auto"/>
                    <w:bottom w:val="none" w:sz="0" w:space="0" w:color="auto"/>
                    <w:right w:val="none" w:sz="0" w:space="0" w:color="auto"/>
                  </w:divBdr>
                </w:div>
                <w:div w:id="1111508622">
                  <w:marLeft w:val="1050"/>
                  <w:marRight w:val="0"/>
                  <w:marTop w:val="0"/>
                  <w:marBottom w:val="0"/>
                  <w:divBdr>
                    <w:top w:val="none" w:sz="0" w:space="0" w:color="auto"/>
                    <w:left w:val="none" w:sz="0" w:space="0" w:color="auto"/>
                    <w:bottom w:val="none" w:sz="0" w:space="0" w:color="auto"/>
                    <w:right w:val="none" w:sz="0" w:space="0" w:color="auto"/>
                  </w:divBdr>
                  <w:divsChild>
                    <w:div w:id="228618450">
                      <w:marLeft w:val="0"/>
                      <w:marRight w:val="0"/>
                      <w:marTop w:val="75"/>
                      <w:marBottom w:val="0"/>
                      <w:divBdr>
                        <w:top w:val="none" w:sz="0" w:space="0" w:color="auto"/>
                        <w:left w:val="none" w:sz="0" w:space="0" w:color="auto"/>
                        <w:bottom w:val="none" w:sz="0" w:space="0" w:color="auto"/>
                        <w:right w:val="none" w:sz="0" w:space="0" w:color="auto"/>
                      </w:divBdr>
                      <w:divsChild>
                        <w:div w:id="1405953704">
                          <w:marLeft w:val="0"/>
                          <w:marRight w:val="0"/>
                          <w:marTop w:val="0"/>
                          <w:marBottom w:val="75"/>
                          <w:divBdr>
                            <w:top w:val="none" w:sz="0" w:space="0" w:color="auto"/>
                            <w:left w:val="none" w:sz="0" w:space="0" w:color="auto"/>
                            <w:bottom w:val="single" w:sz="6" w:space="4" w:color="DDDDDD"/>
                            <w:right w:val="none" w:sz="0" w:space="0" w:color="auto"/>
                          </w:divBdr>
                          <w:divsChild>
                            <w:div w:id="241723995">
                              <w:marLeft w:val="0"/>
                              <w:marRight w:val="0"/>
                              <w:marTop w:val="0"/>
                              <w:marBottom w:val="0"/>
                              <w:divBdr>
                                <w:top w:val="none" w:sz="0" w:space="0" w:color="auto"/>
                                <w:left w:val="none" w:sz="0" w:space="0" w:color="auto"/>
                                <w:bottom w:val="none" w:sz="0" w:space="0" w:color="auto"/>
                                <w:right w:val="none" w:sz="0" w:space="0" w:color="auto"/>
                              </w:divBdr>
                            </w:div>
                          </w:divsChild>
                        </w:div>
                        <w:div w:id="1355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3113">
          <w:marLeft w:val="0"/>
          <w:marRight w:val="0"/>
          <w:marTop w:val="0"/>
          <w:marBottom w:val="0"/>
          <w:divBdr>
            <w:top w:val="none" w:sz="0" w:space="0" w:color="auto"/>
            <w:left w:val="none" w:sz="0" w:space="0" w:color="auto"/>
            <w:bottom w:val="none" w:sz="0" w:space="0" w:color="auto"/>
            <w:right w:val="none" w:sz="0" w:space="0" w:color="auto"/>
          </w:divBdr>
          <w:divsChild>
            <w:div w:id="1058671648">
              <w:marLeft w:val="0"/>
              <w:marRight w:val="0"/>
              <w:marTop w:val="0"/>
              <w:marBottom w:val="0"/>
              <w:divBdr>
                <w:top w:val="none" w:sz="0" w:space="0" w:color="auto"/>
                <w:left w:val="none" w:sz="0" w:space="0" w:color="auto"/>
                <w:bottom w:val="none" w:sz="0" w:space="0" w:color="auto"/>
                <w:right w:val="none" w:sz="0" w:space="0" w:color="auto"/>
              </w:divBdr>
              <w:divsChild>
                <w:div w:id="627586453">
                  <w:marLeft w:val="0"/>
                  <w:marRight w:val="0"/>
                  <w:marTop w:val="0"/>
                  <w:marBottom w:val="0"/>
                  <w:divBdr>
                    <w:top w:val="none" w:sz="0" w:space="0" w:color="auto"/>
                    <w:left w:val="none" w:sz="0" w:space="0" w:color="auto"/>
                    <w:bottom w:val="none" w:sz="0" w:space="0" w:color="auto"/>
                    <w:right w:val="none" w:sz="0" w:space="0" w:color="auto"/>
                  </w:divBdr>
                  <w:divsChild>
                    <w:div w:id="913704187">
                      <w:marLeft w:val="0"/>
                      <w:marRight w:val="0"/>
                      <w:marTop w:val="0"/>
                      <w:marBottom w:val="0"/>
                      <w:divBdr>
                        <w:top w:val="none" w:sz="0" w:space="0" w:color="auto"/>
                        <w:left w:val="none" w:sz="0" w:space="0" w:color="auto"/>
                        <w:bottom w:val="none" w:sz="0" w:space="0" w:color="auto"/>
                        <w:right w:val="none" w:sz="0" w:space="0" w:color="auto"/>
                      </w:divBdr>
                      <w:divsChild>
                        <w:div w:id="1275862002">
                          <w:marLeft w:val="0"/>
                          <w:marRight w:val="0"/>
                          <w:marTop w:val="375"/>
                          <w:marBottom w:val="375"/>
                          <w:divBdr>
                            <w:top w:val="none" w:sz="0" w:space="0" w:color="auto"/>
                            <w:left w:val="none" w:sz="0" w:space="0" w:color="auto"/>
                            <w:bottom w:val="none" w:sz="0" w:space="0" w:color="auto"/>
                            <w:right w:val="none" w:sz="0" w:space="0" w:color="auto"/>
                          </w:divBdr>
                          <w:divsChild>
                            <w:div w:id="1736322113">
                              <w:marLeft w:val="0"/>
                              <w:marRight w:val="0"/>
                              <w:marTop w:val="0"/>
                              <w:marBottom w:val="0"/>
                              <w:divBdr>
                                <w:top w:val="none" w:sz="0" w:space="0" w:color="auto"/>
                                <w:left w:val="none" w:sz="0" w:space="0" w:color="auto"/>
                                <w:bottom w:val="none" w:sz="0" w:space="0" w:color="auto"/>
                                <w:right w:val="none" w:sz="0" w:space="0" w:color="auto"/>
                              </w:divBdr>
                            </w:div>
                          </w:divsChild>
                        </w:div>
                        <w:div w:id="645470303">
                          <w:marLeft w:val="0"/>
                          <w:marRight w:val="0"/>
                          <w:marTop w:val="0"/>
                          <w:marBottom w:val="450"/>
                          <w:divBdr>
                            <w:top w:val="none" w:sz="0" w:space="0" w:color="auto"/>
                            <w:left w:val="none" w:sz="0" w:space="0" w:color="auto"/>
                            <w:bottom w:val="none" w:sz="0" w:space="0" w:color="auto"/>
                            <w:right w:val="none" w:sz="0" w:space="0" w:color="auto"/>
                          </w:divBdr>
                        </w:div>
                        <w:div w:id="10464909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ginvestor.net/tag/energy-transi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ginvestor.net/tag/clean-energy/" TargetMode="External"/><Relationship Id="rId12" Type="http://schemas.openxmlformats.org/officeDocument/2006/relationships/hyperlink" Target="https://www.esginvestor.net/tag/supply-cha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ginvestor.net/author/richard-black/" TargetMode="External"/><Relationship Id="rId11" Type="http://schemas.openxmlformats.org/officeDocument/2006/relationships/hyperlink" Target="https://www.esginvestor.net/tag/supply-chain-risk/" TargetMode="External"/><Relationship Id="rId5" Type="http://schemas.openxmlformats.org/officeDocument/2006/relationships/image" Target="media/image1.png"/><Relationship Id="rId10" Type="http://schemas.openxmlformats.org/officeDocument/2006/relationships/hyperlink" Target="https://www.esginvestor.net/tag/renewables/" TargetMode="External"/><Relationship Id="rId4" Type="http://schemas.openxmlformats.org/officeDocument/2006/relationships/webSettings" Target="webSettings.xml"/><Relationship Id="rId9" Type="http://schemas.openxmlformats.org/officeDocument/2006/relationships/hyperlink" Target="https://www.esginvestor.net/tag/infrastructur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1459</Words>
  <Characters>8028</Characters>
  <Application>Microsoft Office Word</Application>
  <DocSecurity>0</DocSecurity>
  <Lines>66</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2024-07-23T17:16:00Z</dcterms:created>
  <dcterms:modified xsi:type="dcterms:W3CDTF">2024-08-06T02:51:00Z</dcterms:modified>
</cp:coreProperties>
</file>