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3BF8" w14:textId="3BE045BF" w:rsidR="006D305E" w:rsidRPr="001E0A2D" w:rsidRDefault="006D305E" w:rsidP="006D305E">
      <w:pPr>
        <w:jc w:val="both"/>
        <w:rPr>
          <w:rFonts w:ascii="Abadi" w:hAnsi="Abadi"/>
          <w:sz w:val="28"/>
          <w:szCs w:val="28"/>
        </w:rPr>
      </w:pPr>
      <w:r w:rsidRPr="001E0A2D">
        <w:rPr>
          <w:rFonts w:ascii="Abadi" w:hAnsi="Abadi"/>
          <w:sz w:val="28"/>
          <w:szCs w:val="28"/>
        </w:rPr>
        <w:t>El FRC publica el borrador de la taxonomía 2025 para consulta</w:t>
      </w:r>
    </w:p>
    <w:p w14:paraId="13C5AAFC" w14:textId="768038AF" w:rsidR="006D305E" w:rsidRPr="006D305E" w:rsidRDefault="006D305E" w:rsidP="006D305E">
      <w:pPr>
        <w:jc w:val="both"/>
      </w:pPr>
      <w:r w:rsidRPr="006D305E">
        <w:rPr>
          <w:noProof/>
        </w:rPr>
        <w:drawing>
          <wp:inline distT="0" distB="0" distL="0" distR="0" wp14:anchorId="16D2FEAF" wp14:editId="05BE744C">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44BD043" w14:textId="77777777" w:rsidR="006D305E" w:rsidRPr="006D305E" w:rsidRDefault="006D305E" w:rsidP="006D305E">
      <w:pPr>
        <w:jc w:val="both"/>
      </w:pPr>
      <w:r w:rsidRPr="006D305E">
        <w:t>Publicado el 6 de septiembre de 2024 por</w:t>
      </w:r>
      <w:r>
        <w:t xml:space="preserve"> </w:t>
      </w:r>
      <w:hyperlink r:id="rId6" w:history="1">
        <w:r w:rsidRPr="006D305E">
          <w:rPr>
            <w:rStyle w:val="Hipervnculo"/>
            <w:b/>
            <w:bCs/>
          </w:rPr>
          <w:t>Editor</w:t>
        </w:r>
      </w:hyperlink>
    </w:p>
    <w:p w14:paraId="213D5439" w14:textId="77777777" w:rsidR="006D305E" w:rsidRPr="006D305E" w:rsidRDefault="006D305E" w:rsidP="006D305E">
      <w:pPr>
        <w:jc w:val="both"/>
      </w:pPr>
      <w:r w:rsidRPr="006D305E">
        <w:t>El Consejo de Información Financiera (FRC) ha publicado una versión preliminar de la Taxonomía 2025 y está invitando al público a enviar comentarios hasta el 20 de septiembre de 2024. Este borrador presenta varias actualizaciones importantes diseñadas para mejorar la información financiera digital y brindar información más clara a los usuarios.</w:t>
      </w:r>
    </w:p>
    <w:p w14:paraId="48D4DDE8" w14:textId="77777777" w:rsidR="006D305E" w:rsidRPr="006D305E" w:rsidRDefault="006D305E" w:rsidP="006D305E">
      <w:pPr>
        <w:jc w:val="both"/>
      </w:pPr>
      <w:r w:rsidRPr="006D305E">
        <w:t>Los cambios principales incluyen la incorporación de nuevos puntos de entrada y conceptos para facilitar la presentación de informes digitales para las cuentas de Paquete exento de subsidiarias inactivas y empresas de interés comunitario en Companies House. Además, el borrador actualiza las etiquetas para alinearlas con las modificaciones recientes a las Normas de información financiera del Reino Unido, específicamente FRED 82 y FRED 84, e incluye un nuevo esquema central para la cuenta de pérdidas y ganancias detallada (DPL, por sus siglas en inglés) al tiempo que elimina la presentación de DPL del esquema central de informes financieros para simplificar la presentación de datos.</w:t>
      </w:r>
    </w:p>
    <w:p w14:paraId="2951E6E6" w14:textId="77777777" w:rsidR="006D305E" w:rsidRPr="006D305E" w:rsidRDefault="006D305E" w:rsidP="006D305E">
      <w:pPr>
        <w:jc w:val="both"/>
      </w:pPr>
      <w:r w:rsidRPr="006D305E">
        <w:t>El borrador del conjunto de taxonomías 2025 también refleja actualizaciones de las extensiones para organizaciones benéficas e irlandesas, lo que garantiza que sean coherentes con los cambios regulatorios recientes.</w:t>
      </w:r>
    </w:p>
    <w:p w14:paraId="4613C252" w14:textId="77777777" w:rsidR="006D305E" w:rsidRPr="006D305E" w:rsidRDefault="006D305E" w:rsidP="006D305E">
      <w:pPr>
        <w:jc w:val="both"/>
      </w:pPr>
      <w:r w:rsidRPr="006D305E">
        <w:t>Se recomienda a las partes interesadas que revisen el registro de cambios detallado que se incluye en el borrador del conjunto de herramientas para comprender en profundidad las revisiones propuestas. El objetivo del FRC es publicar la versión final del conjunto de herramientas de taxonomía, junto con una declaración de comentarios, en octubre.</w:t>
      </w:r>
    </w:p>
    <w:p w14:paraId="7F12A98A" w14:textId="2EA263CE" w:rsidR="006D305E" w:rsidRPr="006D305E" w:rsidRDefault="006D305E" w:rsidP="006D305E">
      <w:pPr>
        <w:jc w:val="both"/>
      </w:pPr>
      <w:r w:rsidRPr="006D305E">
        <w:lastRenderedPageBreak/>
        <w:t>Para participar en la consulta y brindar comentarios, puede utilizar la herramienta de comentarios del FRC, Yeti, o enviar respuestas por correo electrónico a</w:t>
      </w:r>
      <w:r>
        <w:t xml:space="preserve"> </w:t>
      </w:r>
      <w:hyperlink r:id="rId7" w:tgtFrame="_blank" w:history="1">
        <w:r w:rsidRPr="006D305E">
          <w:rPr>
            <w:rStyle w:val="Hipervnculo"/>
          </w:rPr>
          <w:t>xbrl@frc.org.uk</w:t>
        </w:r>
      </w:hyperlink>
      <w:r w:rsidRPr="006D305E">
        <w:t>.</w:t>
      </w:r>
    </w:p>
    <w:p w14:paraId="09FF069A" w14:textId="302827FE" w:rsidR="006D305E" w:rsidRPr="006D305E" w:rsidRDefault="006D305E" w:rsidP="006D305E">
      <w:pPr>
        <w:jc w:val="both"/>
      </w:pPr>
      <w:r w:rsidRPr="006D305E">
        <w:t>Para obtener más información, visite el</w:t>
      </w:r>
      <w:r>
        <w:t xml:space="preserve"> </w:t>
      </w:r>
      <w:hyperlink r:id="rId8" w:tgtFrame="_blank" w:history="1">
        <w:r w:rsidRPr="006D305E">
          <w:rPr>
            <w:rStyle w:val="Hipervnculo"/>
          </w:rPr>
          <w:t>sitio web del FRC</w:t>
        </w:r>
      </w:hyperlink>
      <w:r w:rsidRPr="006D305E">
        <w:t>.</w:t>
      </w:r>
    </w:p>
    <w:p w14:paraId="17ACF1FA" w14:textId="58A4B2D7" w:rsidR="006D305E" w:rsidRPr="006D305E" w:rsidRDefault="00523BDA" w:rsidP="006D305E">
      <w:pPr>
        <w:jc w:val="both"/>
      </w:pPr>
      <w:hyperlink r:id="rId9" w:history="1">
        <w:r w:rsidR="006D305E" w:rsidRPr="006D305E">
          <w:rPr>
            <w:rStyle w:val="Hipervnculo"/>
          </w:rPr>
          <w:t>Taxonomía</w:t>
        </w:r>
        <w:r w:rsidR="006D305E">
          <w:rPr>
            <w:rStyle w:val="Hipervnculo"/>
          </w:rPr>
          <w:t xml:space="preserve"> </w:t>
        </w:r>
      </w:hyperlink>
      <w:hyperlink r:id="rId10" w:history="1">
        <w:r w:rsidR="006D305E" w:rsidRPr="006D305E">
          <w:rPr>
            <w:rStyle w:val="Hipervnculo"/>
          </w:rPr>
          <w:t>FRC</w:t>
        </w:r>
      </w:hyperlink>
    </w:p>
    <w:p w14:paraId="60CBC7DB" w14:textId="0B252B27" w:rsidR="006D305E" w:rsidRPr="006D305E" w:rsidRDefault="006D305E" w:rsidP="006D305E">
      <w:pPr>
        <w:jc w:val="both"/>
      </w:pPr>
    </w:p>
    <w:p w14:paraId="641933A3" w14:textId="2B7D8FA5" w:rsidR="009509F3" w:rsidRDefault="009509F3" w:rsidP="006D305E">
      <w:pPr>
        <w:jc w:val="both"/>
      </w:pPr>
    </w:p>
    <w:p w14:paraId="0AFC868F" w14:textId="14C2D8B8" w:rsidR="006D305E" w:rsidRDefault="006D305E" w:rsidP="006D305E">
      <w:pPr>
        <w:jc w:val="both"/>
      </w:pPr>
    </w:p>
    <w:p w14:paraId="1200CA3C" w14:textId="435B2CE6" w:rsidR="006D305E" w:rsidRDefault="006D305E" w:rsidP="006D305E">
      <w:pPr>
        <w:jc w:val="both"/>
      </w:pPr>
    </w:p>
    <w:p w14:paraId="1BD649E0" w14:textId="06DCD372" w:rsidR="006D305E" w:rsidRDefault="006D305E" w:rsidP="006D305E">
      <w:pPr>
        <w:jc w:val="both"/>
      </w:pPr>
    </w:p>
    <w:p w14:paraId="60A87150" w14:textId="2BF53656" w:rsidR="006D305E" w:rsidRDefault="006D305E" w:rsidP="006D305E">
      <w:pPr>
        <w:jc w:val="both"/>
      </w:pPr>
    </w:p>
    <w:p w14:paraId="7932396F" w14:textId="16D2605F" w:rsidR="00B85B4D" w:rsidRDefault="00B85B4D" w:rsidP="006D305E">
      <w:pPr>
        <w:jc w:val="both"/>
      </w:pPr>
    </w:p>
    <w:p w14:paraId="1FC7D888" w14:textId="50CA9FD7" w:rsidR="00B85B4D" w:rsidRDefault="00B85B4D" w:rsidP="006D305E">
      <w:pPr>
        <w:jc w:val="both"/>
      </w:pPr>
    </w:p>
    <w:p w14:paraId="0862CB0F" w14:textId="5114AAA8" w:rsidR="00B85B4D" w:rsidRDefault="00B85B4D" w:rsidP="006D305E">
      <w:pPr>
        <w:jc w:val="both"/>
      </w:pPr>
    </w:p>
    <w:p w14:paraId="20E3CF51" w14:textId="5E95198F" w:rsidR="00B85B4D" w:rsidRDefault="00B85B4D" w:rsidP="006D305E">
      <w:pPr>
        <w:jc w:val="both"/>
      </w:pPr>
    </w:p>
    <w:p w14:paraId="19027990" w14:textId="0EFE5166" w:rsidR="00B85B4D" w:rsidRDefault="00B85B4D" w:rsidP="006D305E">
      <w:pPr>
        <w:jc w:val="both"/>
      </w:pPr>
    </w:p>
    <w:p w14:paraId="4D855F7D" w14:textId="10AD2969" w:rsidR="00B85B4D" w:rsidRDefault="00B85B4D" w:rsidP="006D305E">
      <w:pPr>
        <w:jc w:val="both"/>
      </w:pPr>
    </w:p>
    <w:p w14:paraId="5E1A634E" w14:textId="35609016" w:rsidR="00B85B4D" w:rsidRDefault="00B85B4D" w:rsidP="006D305E">
      <w:pPr>
        <w:jc w:val="both"/>
      </w:pPr>
    </w:p>
    <w:p w14:paraId="54847348" w14:textId="78478272" w:rsidR="00B85B4D" w:rsidRDefault="00B85B4D" w:rsidP="006D305E">
      <w:pPr>
        <w:jc w:val="both"/>
      </w:pPr>
    </w:p>
    <w:p w14:paraId="6A6441D4" w14:textId="233E49F1" w:rsidR="00B85B4D" w:rsidRDefault="00B85B4D" w:rsidP="006D305E">
      <w:pPr>
        <w:jc w:val="both"/>
      </w:pPr>
    </w:p>
    <w:p w14:paraId="27A779EB" w14:textId="5EFCFE44" w:rsidR="00B85B4D" w:rsidRDefault="00B85B4D" w:rsidP="006D305E">
      <w:pPr>
        <w:jc w:val="both"/>
      </w:pPr>
    </w:p>
    <w:p w14:paraId="2AB36500" w14:textId="3F3672DD" w:rsidR="00B85B4D" w:rsidRDefault="00B85B4D" w:rsidP="006D305E">
      <w:pPr>
        <w:jc w:val="both"/>
      </w:pPr>
    </w:p>
    <w:p w14:paraId="26E1552A" w14:textId="2D8CEDAC" w:rsidR="00B85B4D" w:rsidRDefault="00B85B4D" w:rsidP="006D305E">
      <w:pPr>
        <w:jc w:val="both"/>
      </w:pPr>
    </w:p>
    <w:p w14:paraId="1286A8EB" w14:textId="530AF325" w:rsidR="00B85B4D" w:rsidRDefault="00B85B4D" w:rsidP="006D305E">
      <w:pPr>
        <w:jc w:val="both"/>
      </w:pPr>
    </w:p>
    <w:p w14:paraId="661EBFFC" w14:textId="44B815D1" w:rsidR="00B85B4D" w:rsidRDefault="00B85B4D" w:rsidP="006D305E">
      <w:pPr>
        <w:jc w:val="both"/>
      </w:pPr>
    </w:p>
    <w:p w14:paraId="6529C2A6" w14:textId="0E1D3E56" w:rsidR="00B85B4D" w:rsidRDefault="00B85B4D" w:rsidP="006D305E">
      <w:pPr>
        <w:jc w:val="both"/>
      </w:pPr>
    </w:p>
    <w:p w14:paraId="12ED2F87" w14:textId="77777777" w:rsidR="00B85B4D" w:rsidRDefault="00B85B4D" w:rsidP="006D305E">
      <w:pPr>
        <w:jc w:val="both"/>
      </w:pPr>
    </w:p>
    <w:p w14:paraId="38C885D0" w14:textId="6FE8636F" w:rsidR="006D305E" w:rsidRDefault="006D305E" w:rsidP="006D305E">
      <w:pPr>
        <w:jc w:val="both"/>
      </w:pPr>
    </w:p>
    <w:p w14:paraId="413B8BAA" w14:textId="2469D9CB" w:rsidR="001E0A2D" w:rsidRDefault="001E0A2D" w:rsidP="006D305E">
      <w:pPr>
        <w:jc w:val="both"/>
      </w:pPr>
    </w:p>
    <w:p w14:paraId="0BD4FCD8" w14:textId="77777777" w:rsidR="001E0A2D" w:rsidRDefault="001E0A2D" w:rsidP="006D305E">
      <w:pPr>
        <w:jc w:val="both"/>
      </w:pPr>
    </w:p>
    <w:p w14:paraId="5E81F331" w14:textId="70B2483E" w:rsidR="006D305E" w:rsidRDefault="006D305E" w:rsidP="006D305E">
      <w:pPr>
        <w:jc w:val="both"/>
      </w:pPr>
      <w:r w:rsidRPr="006D305E">
        <w:rPr>
          <w:noProof/>
        </w:rPr>
        <w:lastRenderedPageBreak/>
        <w:drawing>
          <wp:inline distT="0" distB="0" distL="0" distR="0" wp14:anchorId="028A5762" wp14:editId="227CD592">
            <wp:extent cx="5612130" cy="9906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90600"/>
                    </a:xfrm>
                    <a:prstGeom prst="rect">
                      <a:avLst/>
                    </a:prstGeom>
                  </pic:spPr>
                </pic:pic>
              </a:graphicData>
            </a:graphic>
          </wp:inline>
        </w:drawing>
      </w:r>
    </w:p>
    <w:p w14:paraId="021F2F32" w14:textId="77777777" w:rsidR="006D305E" w:rsidRPr="006D305E" w:rsidRDefault="006D305E" w:rsidP="006D305E">
      <w:pPr>
        <w:jc w:val="both"/>
        <w:rPr>
          <w:sz w:val="28"/>
          <w:szCs w:val="28"/>
        </w:rPr>
      </w:pPr>
      <w:r w:rsidRPr="006D305E">
        <w:rPr>
          <w:sz w:val="28"/>
          <w:szCs w:val="28"/>
        </w:rPr>
        <w:t>Se publicó el borrador del conjunto de taxonomías 2025</w:t>
      </w:r>
    </w:p>
    <w:p w14:paraId="01623E6D" w14:textId="357EF40E" w:rsidR="006D305E" w:rsidRPr="006D305E" w:rsidRDefault="006D305E" w:rsidP="006D305E">
      <w:pPr>
        <w:jc w:val="both"/>
      </w:pPr>
      <w:r w:rsidRPr="006D305E">
        <w:t>Tipos de noticias:</w:t>
      </w:r>
      <w:r w:rsidR="001E0A2D">
        <w:t xml:space="preserve"> </w:t>
      </w:r>
      <w:r w:rsidRPr="006D305E">
        <w:t>Anuncio de consulta</w:t>
      </w:r>
    </w:p>
    <w:p w14:paraId="310183FD" w14:textId="77777777" w:rsidR="006D305E" w:rsidRPr="006D305E" w:rsidRDefault="006D305E" w:rsidP="006D305E">
      <w:pPr>
        <w:jc w:val="both"/>
        <w:rPr>
          <w:b/>
          <w:bCs/>
        </w:rPr>
      </w:pPr>
      <w:r w:rsidRPr="006D305E">
        <w:rPr>
          <w:b/>
          <w:bCs/>
        </w:rPr>
        <w:t>Publicado: 2 de agosto de 2024</w:t>
      </w:r>
    </w:p>
    <w:p w14:paraId="223147B7" w14:textId="77777777" w:rsidR="006D305E" w:rsidRPr="006D305E" w:rsidRDefault="006D305E" w:rsidP="006D305E">
      <w:pPr>
        <w:jc w:val="both"/>
      </w:pPr>
      <w:r w:rsidRPr="006D305E">
        <w:t>El FRC ha publicado una versión borrador del Conjunto de Taxonomías 2025.</w:t>
      </w:r>
    </w:p>
    <w:p w14:paraId="5798F0C3" w14:textId="4E6D1CE3" w:rsidR="006D305E" w:rsidRPr="006D305E" w:rsidRDefault="006D305E" w:rsidP="006D305E">
      <w:pPr>
        <w:jc w:val="both"/>
      </w:pPr>
      <w:r w:rsidRPr="006D305E">
        <w:t>La consulta sobre la</w:t>
      </w:r>
      <w:r w:rsidR="00B85B4D">
        <w:t xml:space="preserve"> </w:t>
      </w:r>
      <w:hyperlink r:id="rId12" w:history="1">
        <w:r w:rsidRPr="006D305E">
          <w:rPr>
            <w:rStyle w:val="Hipervnculo"/>
          </w:rPr>
          <w:t>versión preliminar del Conjunto de Taxonomías 2025</w:t>
        </w:r>
      </w:hyperlink>
      <w:r w:rsidR="00B85B4D">
        <w:t xml:space="preserve"> </w:t>
      </w:r>
      <w:r w:rsidRPr="006D305E">
        <w:t>está abierta a comentarios públicos durante dos meses hasta el 20 de septiembre y las respuestas pueden enviarse a través de</w:t>
      </w:r>
      <w:r w:rsidR="00B85B4D">
        <w:t xml:space="preserve"> </w:t>
      </w:r>
      <w:hyperlink r:id="rId13" w:history="1">
        <w:r w:rsidRPr="006D305E">
          <w:rPr>
            <w:rStyle w:val="Hipervnculo"/>
          </w:rPr>
          <w:t>Yeti</w:t>
        </w:r>
      </w:hyperlink>
      <w:r w:rsidR="00B85B4D">
        <w:rPr>
          <w:rStyle w:val="Hipervnculo"/>
        </w:rPr>
        <w:t xml:space="preserve"> </w:t>
      </w:r>
      <w:r w:rsidRPr="006D305E">
        <w:t>o por correo electrónico a</w:t>
      </w:r>
      <w:r w:rsidR="00B85B4D">
        <w:t xml:space="preserve"> </w:t>
      </w:r>
      <w:hyperlink r:id="rId14" w:history="1">
        <w:r w:rsidRPr="006D305E">
          <w:rPr>
            <w:rStyle w:val="Hipervnculo"/>
          </w:rPr>
          <w:t>xbrl@frc.org.uk</w:t>
        </w:r>
      </w:hyperlink>
      <w:r w:rsidRPr="006D305E">
        <w:t>.</w:t>
      </w:r>
    </w:p>
    <w:p w14:paraId="215950A8" w14:textId="77777777" w:rsidR="006D305E" w:rsidRPr="006D305E" w:rsidRDefault="006D305E" w:rsidP="006D305E">
      <w:pPr>
        <w:jc w:val="both"/>
      </w:pPr>
      <w:r w:rsidRPr="006D305E">
        <w:t>El FRC tiene como objetivo publicar la versión final del Taxonomy Suite en octubre de 2024, junto con una declaración de comentarios.</w:t>
      </w:r>
    </w:p>
    <w:p w14:paraId="7A77F6B9" w14:textId="77777777" w:rsidR="006D305E" w:rsidRPr="006D305E" w:rsidRDefault="006D305E" w:rsidP="006D305E">
      <w:pPr>
        <w:jc w:val="both"/>
      </w:pPr>
      <w:r w:rsidRPr="006D305E">
        <w:rPr>
          <w:b/>
          <w:bCs/>
        </w:rPr>
        <w:t>Cambios clave en el conjunto de taxonomías 2025:</w:t>
      </w:r>
    </w:p>
    <w:p w14:paraId="6741122A" w14:textId="77777777" w:rsidR="006D305E" w:rsidRPr="006D305E" w:rsidRDefault="006D305E" w:rsidP="006D305E">
      <w:pPr>
        <w:jc w:val="both"/>
      </w:pPr>
      <w:r w:rsidRPr="006D305E">
        <w:t>Se recomienda encarecidamente a los encuestados que lean el archivo changelog.pdf que se encuentra en la carpeta zip de descarga del borrador de Taxonomy Suite. Este archivo ofrece muchos más detalles sobre los cambios propuestos para este año y respalda el uso de los archivos de mapeo de Excel.</w:t>
      </w:r>
    </w:p>
    <w:p w14:paraId="4662B1F2" w14:textId="77777777" w:rsidR="006D305E" w:rsidRPr="006D305E" w:rsidRDefault="006D305E" w:rsidP="006D305E">
      <w:pPr>
        <w:numPr>
          <w:ilvl w:val="0"/>
          <w:numId w:val="1"/>
        </w:numPr>
        <w:jc w:val="both"/>
      </w:pPr>
      <w:r w:rsidRPr="006D305E">
        <w:t>Se han actualizado y agregado etiquetas para permitir Acuerdos de financiamiento de proveedores aprobados por UKEB: modificaciones a la NIC 7 y la NIIF 7 y Falta de intercambiabilidad: modificaciones a la NIC 21</w:t>
      </w:r>
    </w:p>
    <w:p w14:paraId="53515ED7" w14:textId="77777777" w:rsidR="006D305E" w:rsidRPr="006D305E" w:rsidRDefault="006D305E" w:rsidP="006D305E">
      <w:pPr>
        <w:numPr>
          <w:ilvl w:val="0"/>
          <w:numId w:val="1"/>
        </w:numPr>
        <w:jc w:val="both"/>
      </w:pPr>
      <w:r w:rsidRPr="006D305E">
        <w:t>Se han actualizado y agregado etiquetas para permitir modificaciones a las Normas de información financiera del Reino Unido (FRED 82 y FRED 84).</w:t>
      </w:r>
    </w:p>
    <w:p w14:paraId="73B03458" w14:textId="77777777" w:rsidR="006D305E" w:rsidRPr="006D305E" w:rsidRDefault="006D305E" w:rsidP="006D305E">
      <w:pPr>
        <w:numPr>
          <w:ilvl w:val="0"/>
          <w:numId w:val="1"/>
        </w:numPr>
        <w:jc w:val="both"/>
      </w:pPr>
      <w:r w:rsidRPr="006D305E">
        <w:t>Se han agregado nuevos puntos de entrada y conceptos para permitir la presentación de informes digitales de cuentas de paquetes exentos de empresas de interés comunitario y subsidiarias inactivas a Companies House</w:t>
      </w:r>
    </w:p>
    <w:p w14:paraId="49D516CB" w14:textId="77777777" w:rsidR="006D305E" w:rsidRPr="006D305E" w:rsidRDefault="006D305E" w:rsidP="006D305E">
      <w:pPr>
        <w:numPr>
          <w:ilvl w:val="0"/>
          <w:numId w:val="1"/>
        </w:numPr>
        <w:jc w:val="both"/>
      </w:pPr>
      <w:r w:rsidRPr="006D305E">
        <w:t>Creación de un nuevo esquema central DPL y eliminación de la presentación DPL del esquema central de informes financieros.</w:t>
      </w:r>
    </w:p>
    <w:p w14:paraId="0ED84948" w14:textId="77777777" w:rsidR="006D305E" w:rsidRPr="006D305E" w:rsidRDefault="006D305E" w:rsidP="006D305E">
      <w:pPr>
        <w:numPr>
          <w:ilvl w:val="0"/>
          <w:numId w:val="1"/>
        </w:numPr>
        <w:jc w:val="both"/>
      </w:pPr>
      <w:r w:rsidRPr="006D305E">
        <w:t>Se cambiaron los tipos de saldos y las etiquetas de “Emisión de acciones bonificadas”, “Aumento (disminución) de la deuda neta” y “Costo de servicios pasados ​​del plan de beneficios definidos” para reflejar mejor su significado.</w:t>
      </w:r>
    </w:p>
    <w:p w14:paraId="1A801956" w14:textId="77777777" w:rsidR="006D305E" w:rsidRPr="006D305E" w:rsidRDefault="006D305E" w:rsidP="006D305E">
      <w:pPr>
        <w:numPr>
          <w:ilvl w:val="0"/>
          <w:numId w:val="1"/>
        </w:numPr>
        <w:jc w:val="both"/>
      </w:pPr>
      <w:r w:rsidRPr="006D305E">
        <w:t>Se actualizó “Número promedio de empleados durante el período” para usar nonNegativeDecimalItemType para abordar el problema donde los números de empleados se informan incorrectamente como un número negativo.</w:t>
      </w:r>
    </w:p>
    <w:p w14:paraId="3F58CB57" w14:textId="77777777" w:rsidR="006D305E" w:rsidRPr="006D305E" w:rsidRDefault="006D305E" w:rsidP="006D305E">
      <w:pPr>
        <w:numPr>
          <w:ilvl w:val="0"/>
          <w:numId w:val="1"/>
        </w:numPr>
        <w:jc w:val="both"/>
      </w:pPr>
      <w:r w:rsidRPr="006D305E">
        <w:lastRenderedPageBreak/>
        <w:t>Se ha actualizado la extensión de Caridades.</w:t>
      </w:r>
    </w:p>
    <w:p w14:paraId="4C7D8CF1" w14:textId="51D2BD02" w:rsidR="006D305E" w:rsidRDefault="006D305E" w:rsidP="006D305E">
      <w:pPr>
        <w:numPr>
          <w:ilvl w:val="0"/>
          <w:numId w:val="1"/>
        </w:numPr>
        <w:jc w:val="both"/>
      </w:pPr>
      <w:r w:rsidRPr="006D305E">
        <w:t>La extensión irlandesa se ha actualizado este año e incluye los cambios realizados en el conjunto de taxonomías 2024.</w:t>
      </w:r>
    </w:p>
    <w:p w14:paraId="1CA9D7E3" w14:textId="1B3EEAD9" w:rsidR="006D305E" w:rsidRDefault="006D305E" w:rsidP="006D305E">
      <w:pPr>
        <w:jc w:val="both"/>
      </w:pPr>
      <w:r w:rsidRPr="006D305E">
        <w:rPr>
          <w:noProof/>
        </w:rPr>
        <w:drawing>
          <wp:inline distT="0" distB="0" distL="0" distR="0" wp14:anchorId="6D8F6F3F" wp14:editId="62E58C29">
            <wp:extent cx="5612130" cy="24326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432685"/>
                    </a:xfrm>
                    <a:prstGeom prst="rect">
                      <a:avLst/>
                    </a:prstGeom>
                  </pic:spPr>
                </pic:pic>
              </a:graphicData>
            </a:graphic>
          </wp:inline>
        </w:drawing>
      </w:r>
    </w:p>
    <w:p w14:paraId="330596D0" w14:textId="77777777" w:rsidR="006D305E" w:rsidRDefault="006D305E" w:rsidP="006D305E">
      <w:pPr>
        <w:jc w:val="both"/>
      </w:pPr>
    </w:p>
    <w:sectPr w:rsidR="006D30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F2E22"/>
    <w:multiLevelType w:val="multilevel"/>
    <w:tmpl w:val="2E58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E"/>
    <w:rsid w:val="001E0A2D"/>
    <w:rsid w:val="006D305E"/>
    <w:rsid w:val="009509F3"/>
    <w:rsid w:val="00B85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3A08"/>
  <w15:chartTrackingRefBased/>
  <w15:docId w15:val="{941CCDCF-45C3-4569-BD98-BE3BA0D4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305E"/>
    <w:rPr>
      <w:color w:val="0563C1" w:themeColor="hyperlink"/>
      <w:u w:val="single"/>
    </w:rPr>
  </w:style>
  <w:style w:type="character" w:styleId="Mencinsinresolver">
    <w:name w:val="Unresolved Mention"/>
    <w:basedOn w:val="Fuentedeprrafopredeter"/>
    <w:uiPriority w:val="99"/>
    <w:semiHidden/>
    <w:unhideWhenUsed/>
    <w:rsid w:val="006D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9274">
      <w:bodyDiv w:val="1"/>
      <w:marLeft w:val="0"/>
      <w:marRight w:val="0"/>
      <w:marTop w:val="0"/>
      <w:marBottom w:val="0"/>
      <w:divBdr>
        <w:top w:val="none" w:sz="0" w:space="0" w:color="auto"/>
        <w:left w:val="none" w:sz="0" w:space="0" w:color="auto"/>
        <w:bottom w:val="none" w:sz="0" w:space="0" w:color="auto"/>
        <w:right w:val="none" w:sz="0" w:space="0" w:color="auto"/>
      </w:divBdr>
      <w:divsChild>
        <w:div w:id="1543858995">
          <w:marLeft w:val="0"/>
          <w:marRight w:val="0"/>
          <w:marTop w:val="300"/>
          <w:marBottom w:val="600"/>
          <w:divBdr>
            <w:top w:val="none" w:sz="0" w:space="0" w:color="auto"/>
            <w:left w:val="none" w:sz="0" w:space="0" w:color="auto"/>
            <w:bottom w:val="none" w:sz="0" w:space="0" w:color="auto"/>
            <w:right w:val="none" w:sz="0" w:space="0" w:color="auto"/>
          </w:divBdr>
        </w:div>
        <w:div w:id="1938902376">
          <w:marLeft w:val="0"/>
          <w:marRight w:val="0"/>
          <w:marTop w:val="0"/>
          <w:marBottom w:val="300"/>
          <w:divBdr>
            <w:top w:val="none" w:sz="0" w:space="0" w:color="auto"/>
            <w:left w:val="none" w:sz="0" w:space="0" w:color="auto"/>
            <w:bottom w:val="none" w:sz="0" w:space="0" w:color="auto"/>
            <w:right w:val="none" w:sz="0" w:space="0" w:color="auto"/>
          </w:divBdr>
        </w:div>
      </w:divsChild>
    </w:div>
    <w:div w:id="673343289">
      <w:bodyDiv w:val="1"/>
      <w:marLeft w:val="0"/>
      <w:marRight w:val="0"/>
      <w:marTop w:val="0"/>
      <w:marBottom w:val="0"/>
      <w:divBdr>
        <w:top w:val="none" w:sz="0" w:space="0" w:color="auto"/>
        <w:left w:val="none" w:sz="0" w:space="0" w:color="auto"/>
        <w:bottom w:val="none" w:sz="0" w:space="0" w:color="auto"/>
        <w:right w:val="none" w:sz="0" w:space="0" w:color="auto"/>
      </w:divBdr>
      <w:divsChild>
        <w:div w:id="1101754414">
          <w:marLeft w:val="0"/>
          <w:marRight w:val="0"/>
          <w:marTop w:val="0"/>
          <w:marBottom w:val="0"/>
          <w:divBdr>
            <w:top w:val="none" w:sz="0" w:space="0" w:color="auto"/>
            <w:left w:val="none" w:sz="0" w:space="0" w:color="auto"/>
            <w:bottom w:val="none" w:sz="0" w:space="0" w:color="auto"/>
            <w:right w:val="none" w:sz="0" w:space="0" w:color="auto"/>
          </w:divBdr>
        </w:div>
        <w:div w:id="875435640">
          <w:marLeft w:val="0"/>
          <w:marRight w:val="0"/>
          <w:marTop w:val="300"/>
          <w:marBottom w:val="300"/>
          <w:divBdr>
            <w:top w:val="none" w:sz="0" w:space="0" w:color="auto"/>
            <w:left w:val="none" w:sz="0" w:space="0" w:color="auto"/>
            <w:bottom w:val="none" w:sz="0" w:space="0" w:color="auto"/>
            <w:right w:val="none" w:sz="0" w:space="0" w:color="auto"/>
          </w:divBdr>
        </w:div>
        <w:div w:id="720784123">
          <w:marLeft w:val="0"/>
          <w:marRight w:val="0"/>
          <w:marTop w:val="600"/>
          <w:marBottom w:val="0"/>
          <w:divBdr>
            <w:top w:val="none" w:sz="0" w:space="0" w:color="auto"/>
            <w:left w:val="none" w:sz="0" w:space="0" w:color="auto"/>
            <w:bottom w:val="none" w:sz="0" w:space="0" w:color="auto"/>
            <w:right w:val="none" w:sz="0" w:space="0" w:color="auto"/>
          </w:divBdr>
          <w:divsChild>
            <w:div w:id="199899379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org.uk/news-and-events/news/2024/08/draft-2025-taxonomy-suite-published/" TargetMode="External"/><Relationship Id="rId13" Type="http://schemas.openxmlformats.org/officeDocument/2006/relationships/hyperlink" Target="https://uk-taxonomies-tdp.corefiling.com/yeti/resources/yeti-gwt/Yeti.jsp" TargetMode="External"/><Relationship Id="rId3" Type="http://schemas.openxmlformats.org/officeDocument/2006/relationships/settings" Target="settings.xml"/><Relationship Id="rId7" Type="http://schemas.openxmlformats.org/officeDocument/2006/relationships/hyperlink" Target="mailto:xbrl@frc.org.uk" TargetMode="External"/><Relationship Id="rId12" Type="http://schemas.openxmlformats.org/officeDocument/2006/relationships/hyperlink" Target="https://www.frc.org.uk/consultations/draft-2025-taxonomy-sui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frc-releases-draft-2025-taxonomy-suite-for-consultation/"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s://www.xbrl.org/tag/frc/" TargetMode="External"/><Relationship Id="rId4" Type="http://schemas.openxmlformats.org/officeDocument/2006/relationships/webSettings" Target="webSettings.xml"/><Relationship Id="rId9" Type="http://schemas.openxmlformats.org/officeDocument/2006/relationships/hyperlink" Target="https://www.xbrl.org/tag/taxonomy/" TargetMode="External"/><Relationship Id="rId14" Type="http://schemas.openxmlformats.org/officeDocument/2006/relationships/hyperlink" Target="mailto:xbrl@frc.org.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736</Words>
  <Characters>4049</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2024-09-07T02:34:00Z</dcterms:created>
  <dcterms:modified xsi:type="dcterms:W3CDTF">2024-10-01T02:42:00Z</dcterms:modified>
</cp:coreProperties>
</file>