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81A5" w14:textId="267BFB21" w:rsidR="009C0916" w:rsidRPr="00760CE6" w:rsidRDefault="009C0916" w:rsidP="009C0916">
      <w:pPr>
        <w:jc w:val="both"/>
        <w:rPr>
          <w:rFonts w:cstheme="minorHAnsi"/>
          <w:sz w:val="28"/>
          <w:szCs w:val="28"/>
        </w:rPr>
      </w:pPr>
      <w:r w:rsidRPr="009C0916">
        <w:rPr>
          <w:rFonts w:cstheme="minorHAnsi"/>
          <w:sz w:val="28"/>
          <w:szCs w:val="28"/>
        </w:rPr>
        <w:t>La E</w:t>
      </w:r>
      <w:r w:rsidR="00760CE6">
        <w:rPr>
          <w:rFonts w:cstheme="minorHAnsi"/>
          <w:sz w:val="28"/>
          <w:szCs w:val="28"/>
        </w:rPr>
        <w:t>S</w:t>
      </w:r>
      <w:r w:rsidRPr="009C0916">
        <w:rPr>
          <w:rFonts w:cstheme="minorHAnsi"/>
          <w:sz w:val="28"/>
          <w:szCs w:val="28"/>
        </w:rPr>
        <w:t>M</w:t>
      </w:r>
      <w:r w:rsidR="00760CE6">
        <w:rPr>
          <w:rFonts w:cstheme="minorHAnsi"/>
          <w:sz w:val="28"/>
          <w:szCs w:val="28"/>
        </w:rPr>
        <w:t>A</w:t>
      </w:r>
      <w:r w:rsidRPr="009C0916">
        <w:rPr>
          <w:rFonts w:cstheme="minorHAnsi"/>
          <w:sz w:val="28"/>
          <w:szCs w:val="28"/>
        </w:rPr>
        <w:t xml:space="preserve"> nombra las reglas y establece umbrales SFDR más duros</w:t>
      </w:r>
    </w:p>
    <w:p w14:paraId="2E5276C7" w14:textId="45D332E1" w:rsidR="009C0916" w:rsidRPr="009C0916" w:rsidRDefault="009C0916" w:rsidP="009C0916">
      <w:pPr>
        <w:jc w:val="both"/>
      </w:pPr>
      <w:r w:rsidRPr="009C0916">
        <w:rPr>
          <w:noProof/>
        </w:rPr>
        <w:drawing>
          <wp:inline distT="0" distB="0" distL="0" distR="0" wp14:anchorId="77D56CB6" wp14:editId="03C26A60">
            <wp:extent cx="1280160" cy="1280160"/>
            <wp:effectExtent l="0" t="0" r="0" b="0"/>
            <wp:docPr id="1" name="Imagen 1"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io en blanc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p w14:paraId="2CA36FFC" w14:textId="6936B094" w:rsidR="009C0916" w:rsidRPr="009C0916" w:rsidRDefault="009C0916" w:rsidP="009C0916">
      <w:pPr>
        <w:jc w:val="both"/>
      </w:pPr>
      <w:r w:rsidRPr="009C0916">
        <w:t>Por</w:t>
      </w:r>
      <w:r>
        <w:t xml:space="preserve">: </w:t>
      </w:r>
      <w:hyperlink r:id="rId5" w:tooltip="Posts by Emmy Hawker" w:history="1">
        <w:r w:rsidRPr="009C0916">
          <w:rPr>
            <w:rStyle w:val="Hipervnculo"/>
          </w:rPr>
          <w:t>Emmy Hawker</w:t>
        </w:r>
      </w:hyperlink>
    </w:p>
    <w:p w14:paraId="0296BFBB" w14:textId="77777777" w:rsidR="009C0916" w:rsidRPr="009C0916" w:rsidRDefault="009C0916" w:rsidP="009C0916">
      <w:pPr>
        <w:jc w:val="both"/>
      </w:pPr>
      <w:r w:rsidRPr="009C0916">
        <w:t>23 de agosto de 2024</w:t>
      </w:r>
    </w:p>
    <w:p w14:paraId="6C46277F" w14:textId="04973A2F" w:rsidR="009C0916" w:rsidRPr="009C0916" w:rsidRDefault="009C0916" w:rsidP="009C0916">
      <w:pPr>
        <w:jc w:val="both"/>
      </w:pPr>
      <w:r w:rsidRPr="009C0916">
        <w:t>Las directrices sobre el uso de términos relacionados con los criterios ESG y la sostenibilidad en los nombres de los fondos domiciliados en la UE para luchar contra el blanqueo verde excluirán a varias entidades con mayores emisiones que actualmente forman parte de los fondos de los artículos 8 y 9. Las reglas fueron dadas a conocer por la Autoridad Europea de Valores y Mercados (ESMA, por sus siglas en inglés) en mayo para los fondos que han sido categorizados bajo el Reglamento de Divulgación de Finanzas Sostenibles (SFDR, por sus siglas en inglés). El</w:t>
      </w:r>
      <w:r w:rsidR="00760CE6">
        <w:t xml:space="preserve"> </w:t>
      </w:r>
      <w:hyperlink r:id="rId6" w:history="1">
        <w:r w:rsidRPr="009C0916">
          <w:rPr>
            <w:rStyle w:val="Hipervnculo"/>
            <w:b/>
            <w:bCs/>
          </w:rPr>
          <w:t>análisis del portafolio</w:t>
        </w:r>
      </w:hyperlink>
      <w:r w:rsidR="00760CE6">
        <w:t xml:space="preserve"> </w:t>
      </w:r>
      <w:r w:rsidRPr="009C0916">
        <w:t>de Fitch</w:t>
      </w:r>
      <w:r w:rsidR="00760CE6">
        <w:t xml:space="preserve"> </w:t>
      </w:r>
      <w:r w:rsidRPr="009C0916">
        <w:t>Sostenible indica que el 11% de las casi 800 entidades se encuentran bajo las exclusiones de salvaguardia de la ESMA, lo que afecta especialmente a sectores como la generación de electricidad y el petróleo y gas. Estas entidades representan 154.000 millones de dólares (9%) del total de la deuda etiquetada emitida por empresas e instituciones financieras en EMEA y América del Norte. Muchas de las entidades demuestran un estricto cumplimiento de otros criterios de exclusión, como la no participación ni inversión en la producción de armas controvertidas y tabaco, aunque algunas tienen una exposición limitada a los sectores de la hulla y el lignito (0,25% de las entidades). "Las entidades que obtienen ingresos significativos de los combustibles derivados del petróleo (1,01%) y los combustibles gaseosos (2,4%) indican áreas en las que el cumplimiento de las directrices de la ESMA puede requerir ajustes estratégicos de los fondos", dijo Sustainable Fitch. América del Norte tiene el mayor número de entidades que se encuentran bajo las exclusiones de la ESMA, lo que refleja un mayor desafío de cumplimiento de la sostenibilidad. Por lo tanto, existe la preocupación de que el cumplimiento de las directrices pueda restringir las opciones de inversión, en particular para los sectores de mayores emisiones a través del mercado de bonos etiquetado.</w:t>
      </w:r>
    </w:p>
    <w:p w14:paraId="4F88F58D" w14:textId="7220FE6C" w:rsidR="00A43866" w:rsidRDefault="00A43866" w:rsidP="009C0916">
      <w:pPr>
        <w:jc w:val="both"/>
      </w:pPr>
    </w:p>
    <w:p w14:paraId="76CD5B35" w14:textId="3F3108B3" w:rsidR="009C0916" w:rsidRDefault="009C0916" w:rsidP="009C0916">
      <w:pPr>
        <w:jc w:val="both"/>
      </w:pPr>
    </w:p>
    <w:p w14:paraId="57278C06" w14:textId="2333A995" w:rsidR="009C0916" w:rsidRDefault="009C0916" w:rsidP="009C0916">
      <w:pPr>
        <w:jc w:val="both"/>
      </w:pPr>
    </w:p>
    <w:p w14:paraId="0FFD8615" w14:textId="0C0D9C03" w:rsidR="009C0916" w:rsidRDefault="009C0916" w:rsidP="009C0916">
      <w:pPr>
        <w:jc w:val="both"/>
      </w:pPr>
    </w:p>
    <w:p w14:paraId="0126E467" w14:textId="4C14F791" w:rsidR="009C0916" w:rsidRDefault="009C0916" w:rsidP="009C0916">
      <w:pPr>
        <w:jc w:val="both"/>
      </w:pPr>
    </w:p>
    <w:p w14:paraId="5B6A5FB3" w14:textId="1AE63C28" w:rsidR="009C0916" w:rsidRDefault="009C0916" w:rsidP="009C0916">
      <w:pPr>
        <w:jc w:val="both"/>
      </w:pPr>
    </w:p>
    <w:p w14:paraId="0D9E941D" w14:textId="17A4DE40" w:rsidR="009C0916" w:rsidRDefault="009C0916" w:rsidP="009C0916">
      <w:pPr>
        <w:jc w:val="both"/>
      </w:pPr>
    </w:p>
    <w:p w14:paraId="6AF5DDD4" w14:textId="7C49370B" w:rsidR="009C0916" w:rsidRPr="009C0916" w:rsidRDefault="009C0916" w:rsidP="009C0916">
      <w:pPr>
        <w:jc w:val="both"/>
      </w:pPr>
      <w:r w:rsidRPr="009C0916">
        <w:rPr>
          <w:noProof/>
        </w:rPr>
        <w:lastRenderedPageBreak/>
        <w:drawing>
          <wp:inline distT="0" distB="0" distL="0" distR="0" wp14:anchorId="1FD1A22D" wp14:editId="505F5E35">
            <wp:extent cx="5612130" cy="83883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838835"/>
                    </a:xfrm>
                    <a:prstGeom prst="rect">
                      <a:avLst/>
                    </a:prstGeom>
                  </pic:spPr>
                </pic:pic>
              </a:graphicData>
            </a:graphic>
          </wp:inline>
        </w:drawing>
      </w:r>
    </w:p>
    <w:p w14:paraId="754C0F7D" w14:textId="77777777" w:rsidR="009C0916" w:rsidRPr="009C0916" w:rsidRDefault="009C0916" w:rsidP="009C0916">
      <w:pPr>
        <w:jc w:val="both"/>
        <w:rPr>
          <w:b/>
          <w:bCs/>
        </w:rPr>
      </w:pPr>
      <w:r w:rsidRPr="009C0916">
        <w:rPr>
          <w:b/>
          <w:bCs/>
        </w:rPr>
        <w:t>Sustainable Fitch: Las exclusiones de nombres de fondos de la ESMA podrían afectar la inversión en sectores de mayores emisiones</w:t>
      </w:r>
    </w:p>
    <w:p w14:paraId="01FB29D2" w14:textId="5CF6AE05" w:rsidR="009C0916" w:rsidRPr="009C0916" w:rsidRDefault="009C0916" w:rsidP="009C0916">
      <w:pPr>
        <w:jc w:val="both"/>
      </w:pPr>
      <w:r w:rsidRPr="009C0916">
        <w:t>jue 22 Ago, 2024</w:t>
      </w:r>
    </w:p>
    <w:p w14:paraId="6654B61C" w14:textId="2C186220" w:rsidR="009C0916" w:rsidRDefault="009C0916" w:rsidP="009C0916">
      <w:pPr>
        <w:jc w:val="both"/>
      </w:pPr>
      <w:r w:rsidRPr="009C0916">
        <w:rPr>
          <w:b/>
          <w:bCs/>
        </w:rPr>
        <w:t>Contenido relacionado:</w:t>
      </w:r>
      <w:r>
        <w:rPr>
          <w:b/>
          <w:bCs/>
        </w:rPr>
        <w:t xml:space="preserve"> </w:t>
      </w:r>
      <w:hyperlink r:id="rId8" w:history="1">
        <w:r w:rsidRPr="009C0916">
          <w:rPr>
            <w:rStyle w:val="Hipervnculo"/>
          </w:rPr>
          <w:t>Aprovechar las calificaciones ESG para mapear el nombre de los fondos de la ESMA Salvaguardar las exclusiones</w:t>
        </w:r>
      </w:hyperlink>
    </w:p>
    <w:p w14:paraId="62A9296D" w14:textId="77777777" w:rsidR="009C0916" w:rsidRDefault="009C0916" w:rsidP="009C0916">
      <w:pPr>
        <w:jc w:val="both"/>
      </w:pPr>
      <w:r w:rsidRPr="009C0916">
        <w:t>Sostenible Fitch-Toronto/Londres-22 de agosto de 2024: Las nuevas directrices de la ESMA sobre términos ESG y relacionados con la sostenibilidad en los nombres de los fondos para combatir el lavado verde también presentan varios desafíos para los fondos de los artículos 8 y 9 del SFDR, dice Sustainable Fitch en un nuevo informe.</w:t>
      </w:r>
    </w:p>
    <w:p w14:paraId="059AEDF5" w14:textId="77777777" w:rsidR="009C0916" w:rsidRDefault="009C0916" w:rsidP="009C0916">
      <w:pPr>
        <w:jc w:val="both"/>
      </w:pPr>
      <w:r w:rsidRPr="009C0916">
        <w:t>El análisis preliminar del portafolio calificado de Sustainable Fitch indica que el 11% de las casi 800 entidades se encuentran bajo las exclusiones de salvaguardia de la ESMA, afectando notablemente a sectores como la generación de electricidad y el petróleo y los combustibles gaseosos. Ninguna de las entidades calificadas se dedica a la producción de armas controvertidas o tabaco, lo que demuestra un fuerte cumplimiento de estos criterios de exclusión. Se encontró una exposición limitada en los sectores de hulla y lignito (0,25% de las entidades), pero las entidades que obtienen ingresos significativos de los combustibles derivados del petróleo (1,01%) y los combustibles gaseosos (2,4%) indican áreas en las que el cumplimiento de las directrices de la AEVM puede requerir ajustes estratégicos de los fondos.</w:t>
      </w:r>
    </w:p>
    <w:p w14:paraId="5C9FF20E" w14:textId="77777777" w:rsidR="009C0916" w:rsidRDefault="009C0916" w:rsidP="009C0916">
      <w:pPr>
        <w:jc w:val="both"/>
      </w:pPr>
      <w:r w:rsidRPr="009C0916">
        <w:t>Existe una importante falta de alineación con los criterios de exclusión en los sectores de la electricidad y los servicios públicos, ya que dos tercios de todas las empresas de estos dos sectores no cumplen los criterios de exclusión de nuestro análisis. América del Norte tiene el mayor número de entidades que se encuentran bajo las exclusiones de la ESMA en comparación con EMEA, lo que refleja un mayor desafío de cumplimiento de sostenibilidad.</w:t>
      </w:r>
    </w:p>
    <w:p w14:paraId="334FDDD1" w14:textId="77777777" w:rsidR="009C0916" w:rsidRDefault="009C0916" w:rsidP="009C0916">
      <w:pPr>
        <w:jc w:val="both"/>
      </w:pPr>
      <w:r w:rsidRPr="009C0916">
        <w:t>El cumplimiento de las directrices, que se introdujeron en mayo de 2024, puede restringir las opciones de inversión, en particular para los sectores con mayores emisiones a través del mercado de bonos etiquetado. Las entidades que podrían acogerse a las exclusiones mínimas de salvaguardia representan 154.000 millones de dólares, o el 9%, del total de la deuda etiquetada emitida por empresas e instituciones financieras en EMEA y América del Norte. La Asociación Internacional de Mercados de Capitales criticó las directrices por ser demasiado restrictivas e incoherentes con otras regulaciones, lo que podría perturbar la emisión de bonos verdes y vinculados a la sostenibilidad en lo que respecta a los fondos de renta fija.</w:t>
      </w:r>
    </w:p>
    <w:p w14:paraId="22E8C224" w14:textId="24E2C733" w:rsidR="009C0916" w:rsidRDefault="009C0916" w:rsidP="009C0916">
      <w:pPr>
        <w:jc w:val="both"/>
      </w:pPr>
      <w:r w:rsidRPr="009C0916">
        <w:t>"Aprovechar las calificaciones ESG para mapear las exclusiones de salvaguardia del nombre del fondo de la ESMA" está disponible en</w:t>
      </w:r>
      <w:r w:rsidR="00760CE6">
        <w:t xml:space="preserve"> </w:t>
      </w:r>
      <w:hyperlink r:id="rId9" w:tgtFrame="_blank" w:history="1">
        <w:r w:rsidRPr="009C0916">
          <w:rPr>
            <w:rStyle w:val="Hipervnculo"/>
          </w:rPr>
          <w:t>sustainablefitch.com</w:t>
        </w:r>
      </w:hyperlink>
      <w:r w:rsidR="00760CE6">
        <w:t xml:space="preserve"> </w:t>
      </w:r>
      <w:r w:rsidRPr="009C0916">
        <w:t>o haciendo clic en el enlace anterior.</w:t>
      </w:r>
    </w:p>
    <w:p w14:paraId="33123798" w14:textId="5CEB97C9" w:rsidR="009C0916" w:rsidRDefault="009C0916" w:rsidP="009C0916">
      <w:pPr>
        <w:jc w:val="both"/>
      </w:pPr>
    </w:p>
    <w:p w14:paraId="0F0BBC3F" w14:textId="77777777" w:rsidR="009C0916" w:rsidRDefault="009C0916" w:rsidP="009C0916">
      <w:pPr>
        <w:spacing w:after="0"/>
        <w:jc w:val="both"/>
      </w:pPr>
      <w:r w:rsidRPr="009C0916">
        <w:lastRenderedPageBreak/>
        <w:t>Contacto:</w:t>
      </w:r>
    </w:p>
    <w:p w14:paraId="2C838D3A" w14:textId="77777777" w:rsidR="009C0916" w:rsidRDefault="009C0916" w:rsidP="009C0916">
      <w:pPr>
        <w:spacing w:after="0"/>
        <w:jc w:val="both"/>
      </w:pPr>
      <w:r w:rsidRPr="009C0916">
        <w:t>Tamara Tisminetzky</w:t>
      </w:r>
    </w:p>
    <w:p w14:paraId="7CF9C746" w14:textId="7153B87C" w:rsidR="009C0916" w:rsidRDefault="009C0916" w:rsidP="009C0916">
      <w:pPr>
        <w:spacing w:after="0"/>
        <w:jc w:val="both"/>
      </w:pPr>
      <w:r w:rsidRPr="009C0916">
        <w:t>Directora</w:t>
      </w:r>
      <w:r>
        <w:t xml:space="preserve"> </w:t>
      </w:r>
      <w:r w:rsidRPr="009C0916">
        <w:t>de Investigación</w:t>
      </w:r>
      <w:r>
        <w:t xml:space="preserve"> </w:t>
      </w:r>
      <w:hyperlink r:id="rId10" w:history="1">
        <w:r w:rsidRPr="009C0916">
          <w:rPr>
            <w:rStyle w:val="Hipervnculo"/>
          </w:rPr>
          <w:t>tamara.tisminetzky@sustainablefitch.com</w:t>
        </w:r>
      </w:hyperlink>
    </w:p>
    <w:p w14:paraId="419F1D4B" w14:textId="77777777" w:rsidR="009C0916" w:rsidRPr="009C0916" w:rsidRDefault="009C0916" w:rsidP="009C0916">
      <w:pPr>
        <w:spacing w:after="0"/>
        <w:jc w:val="both"/>
        <w:rPr>
          <w:lang w:val="en-US"/>
        </w:rPr>
      </w:pPr>
      <w:r w:rsidRPr="009C0916">
        <w:rPr>
          <w:lang w:val="en-US"/>
        </w:rPr>
        <w:t>Sostenible Fitch Canada</w:t>
      </w:r>
    </w:p>
    <w:p w14:paraId="682CF9C7" w14:textId="77777777" w:rsidR="009C0916" w:rsidRPr="009C0916" w:rsidRDefault="009C0916" w:rsidP="009C0916">
      <w:pPr>
        <w:spacing w:after="0"/>
        <w:jc w:val="both"/>
        <w:rPr>
          <w:lang w:val="en-US"/>
        </w:rPr>
      </w:pPr>
      <w:r w:rsidRPr="009C0916">
        <w:rPr>
          <w:lang w:val="en-US"/>
        </w:rPr>
        <w:t>22 Adelaide St W Suite 2810</w:t>
      </w:r>
    </w:p>
    <w:p w14:paraId="2EC739A8" w14:textId="77777777" w:rsidR="009C0916" w:rsidRDefault="009C0916" w:rsidP="009C0916">
      <w:pPr>
        <w:spacing w:after="0"/>
        <w:jc w:val="both"/>
      </w:pPr>
      <w:r w:rsidRPr="009C0916">
        <w:t>Toronto, ON M5H 4E3</w:t>
      </w:r>
    </w:p>
    <w:p w14:paraId="7C31D04B" w14:textId="66B73B64" w:rsidR="009C0916" w:rsidRDefault="00760CE6" w:rsidP="009C0916">
      <w:pPr>
        <w:jc w:val="both"/>
      </w:pPr>
      <w:r w:rsidRPr="009C0916">
        <w:t>Canadá</w:t>
      </w:r>
    </w:p>
    <w:p w14:paraId="49079A9E" w14:textId="77777777" w:rsidR="009C0916" w:rsidRDefault="009C0916" w:rsidP="009C0916">
      <w:pPr>
        <w:spacing w:after="0"/>
        <w:jc w:val="both"/>
      </w:pPr>
      <w:r w:rsidRPr="009C0916">
        <w:t>Marina Petroleka</w:t>
      </w:r>
    </w:p>
    <w:p w14:paraId="084CAE59" w14:textId="77777777" w:rsidR="009C0916" w:rsidRDefault="009C0916" w:rsidP="009C0916">
      <w:pPr>
        <w:spacing w:after="0"/>
        <w:jc w:val="both"/>
      </w:pPr>
      <w:r w:rsidRPr="009C0916">
        <w:t>Directora Global de Investigación</w:t>
      </w:r>
    </w:p>
    <w:p w14:paraId="1E72AA41" w14:textId="77777777" w:rsidR="009C0916" w:rsidRDefault="009C0916" w:rsidP="009C0916">
      <w:pPr>
        <w:spacing w:after="0"/>
        <w:jc w:val="both"/>
      </w:pPr>
      <w:r w:rsidRPr="009C0916">
        <w:t>+44 20 3530 1072</w:t>
      </w:r>
    </w:p>
    <w:p w14:paraId="658FC798" w14:textId="0EDA4CFC" w:rsidR="009C0916" w:rsidRDefault="005E5EF1" w:rsidP="009C0916">
      <w:pPr>
        <w:jc w:val="both"/>
      </w:pPr>
      <w:hyperlink r:id="rId11" w:history="1">
        <w:r w:rsidR="009C0916" w:rsidRPr="009C0916">
          <w:rPr>
            <w:rStyle w:val="Hipervnculo"/>
          </w:rPr>
          <w:t>marina.petroleka@sustainablefitch.com</w:t>
        </w:r>
      </w:hyperlink>
    </w:p>
    <w:p w14:paraId="669549D1" w14:textId="77777777" w:rsidR="009C0916" w:rsidRDefault="009C0916" w:rsidP="009C0916">
      <w:pPr>
        <w:jc w:val="both"/>
      </w:pPr>
      <w:r w:rsidRPr="009C0916">
        <w:t>Relaciones con</w:t>
      </w:r>
      <w:r>
        <w:t xml:space="preserve"> </w:t>
      </w:r>
      <w:r w:rsidRPr="009C0916">
        <w:t>los medios de comunicación:</w:t>
      </w:r>
    </w:p>
    <w:p w14:paraId="4D4BA540" w14:textId="77777777" w:rsidR="009C0916" w:rsidRDefault="009C0916" w:rsidP="009C0916">
      <w:pPr>
        <w:spacing w:after="0"/>
        <w:jc w:val="both"/>
      </w:pPr>
      <w:r w:rsidRPr="009C0916">
        <w:t>Tahmina Pinnington-Mannan,</w:t>
      </w:r>
    </w:p>
    <w:p w14:paraId="55249735" w14:textId="77777777" w:rsidR="009C0916" w:rsidRDefault="009C0916" w:rsidP="009C0916">
      <w:pPr>
        <w:spacing w:after="0"/>
        <w:jc w:val="both"/>
      </w:pPr>
      <w:r w:rsidRPr="009C0916">
        <w:t>Londres, Tel: +44 20 3530 1128,</w:t>
      </w:r>
    </w:p>
    <w:p w14:paraId="27877706" w14:textId="5D65FCF0" w:rsidR="009C0916" w:rsidRDefault="009C0916" w:rsidP="009C0916">
      <w:pPr>
        <w:jc w:val="both"/>
      </w:pPr>
      <w:r w:rsidRPr="009C0916">
        <w:t>Correo electrónico:</w:t>
      </w:r>
      <w:r>
        <w:t xml:space="preserve"> </w:t>
      </w:r>
      <w:hyperlink r:id="rId12" w:history="1">
        <w:r w:rsidRPr="009C0916">
          <w:rPr>
            <w:rStyle w:val="Hipervnculo"/>
          </w:rPr>
          <w:t>tahmina.pinnington-mannan@thefitchgroup.com</w:t>
        </w:r>
      </w:hyperlink>
    </w:p>
    <w:p w14:paraId="60953434" w14:textId="77777777" w:rsidR="009C0916" w:rsidRDefault="009C0916" w:rsidP="009C0916">
      <w:pPr>
        <w:spacing w:after="0"/>
        <w:jc w:val="both"/>
      </w:pPr>
      <w:r w:rsidRPr="009C0916">
        <w:t>Eleis Brennan,</w:t>
      </w:r>
    </w:p>
    <w:p w14:paraId="367EBDA8" w14:textId="77777777" w:rsidR="009C0916" w:rsidRDefault="009C0916" w:rsidP="009C0916">
      <w:pPr>
        <w:spacing w:after="0"/>
        <w:jc w:val="both"/>
      </w:pPr>
      <w:r w:rsidRPr="009C0916">
        <w:t>Nueva York, Tel: +1 646 582 3666,</w:t>
      </w:r>
    </w:p>
    <w:p w14:paraId="47B643AD" w14:textId="77777777" w:rsidR="009C0916" w:rsidRDefault="009C0916" w:rsidP="009C0916">
      <w:pPr>
        <w:jc w:val="both"/>
      </w:pPr>
      <w:r w:rsidRPr="009C0916">
        <w:t>Correo electrónico: </w:t>
      </w:r>
      <w:hyperlink r:id="rId13" w:history="1">
        <w:r w:rsidRPr="009C0916">
          <w:rPr>
            <w:rStyle w:val="Hipervnculo"/>
          </w:rPr>
          <w:t>eleis.brennan@thefitchgroup.com</w:t>
        </w:r>
      </w:hyperlink>
    </w:p>
    <w:p w14:paraId="14A89AD0" w14:textId="77777777" w:rsidR="009C0916" w:rsidRDefault="009C0916" w:rsidP="009C0916">
      <w:pPr>
        <w:spacing w:after="0"/>
        <w:jc w:val="both"/>
      </w:pPr>
      <w:r w:rsidRPr="009C0916">
        <w:t>Peter Hoflich, Singapur, Tel: +65 6796 7229,</w:t>
      </w:r>
    </w:p>
    <w:p w14:paraId="4E913CD3" w14:textId="0177F615" w:rsidR="009C0916" w:rsidRDefault="009C0916" w:rsidP="009C0916">
      <w:pPr>
        <w:spacing w:after="0"/>
        <w:jc w:val="both"/>
      </w:pPr>
      <w:r w:rsidRPr="009C0916">
        <w:t>Correo electrónico:</w:t>
      </w:r>
      <w:r>
        <w:t xml:space="preserve"> </w:t>
      </w:r>
      <w:hyperlink r:id="rId14" w:history="1">
        <w:r w:rsidRPr="009C0916">
          <w:rPr>
            <w:rStyle w:val="Hipervnculo"/>
          </w:rPr>
          <w:t>peter.hoflich@thefitchgroup.com</w:t>
        </w:r>
      </w:hyperlink>
    </w:p>
    <w:p w14:paraId="2ECECBFC" w14:textId="09B790EE" w:rsidR="009C0916" w:rsidRDefault="009C0916" w:rsidP="009C0916">
      <w:pPr>
        <w:jc w:val="both"/>
      </w:pPr>
      <w:r w:rsidRPr="009C0916">
        <w:t>Información</w:t>
      </w:r>
      <w:r>
        <w:t xml:space="preserve"> </w:t>
      </w:r>
      <w:r w:rsidRPr="009C0916">
        <w:t>adicional está disponible en</w:t>
      </w:r>
      <w:r>
        <w:t xml:space="preserve"> </w:t>
      </w:r>
      <w:hyperlink r:id="rId15" w:tgtFrame="_blank" w:history="1">
        <w:r w:rsidRPr="009C0916">
          <w:rPr>
            <w:rStyle w:val="Hipervnculo"/>
          </w:rPr>
          <w:t>www.sustainablefitch.com</w:t>
        </w:r>
      </w:hyperlink>
    </w:p>
    <w:p w14:paraId="6036B841" w14:textId="37A6152A" w:rsidR="009C0916" w:rsidRDefault="009C0916" w:rsidP="009C0916">
      <w:pPr>
        <w:jc w:val="both"/>
      </w:pPr>
      <w:r w:rsidRPr="009C0916">
        <w:t>Una puntuación o calificación ESG de Fitch Sostenible (ya sea un "Producto ESG") es una evaluación de la calidad ambiental, social y de gobernanza ("E", "S" y "G")</w:t>
      </w:r>
      <w:r>
        <w:t xml:space="preserve"> </w:t>
      </w:r>
      <w:r w:rsidRPr="009C0916">
        <w:t>de instrumentos financieros, marcos verdes, sociales y de sostenibilidad (GSS) y/o entidades. Un producto ESG no es una calificación crediticia. Los productos ESG son proporcionados por Sustainable Fitch, una división separada de Fitch Group. Fitch Sostenible ha establecido ciertas políticas y procedimientos destinados a evitar crear conflictos de interés y comprometer la independencia o integridad de las actividades de calificación crediticia de Fitch Ratings y las actividades de generación de Productos ESG de Fitch Sustainable. Para obtener una descripción de la metodología, limitaciones y exenciones de responsabilidad relacionadas con los Productos ESG de Fitch Sostenible, utilice este enlace:</w:t>
      </w:r>
      <w:r>
        <w:t xml:space="preserve"> </w:t>
      </w:r>
      <w:hyperlink r:id="rId16" w:tgtFrame="_blank" w:history="1">
        <w:r w:rsidRPr="009C0916">
          <w:rPr>
            <w:rStyle w:val="Hipervnculo"/>
          </w:rPr>
          <w:t>www.sustainablefitch.com</w:t>
        </w:r>
      </w:hyperlink>
      <w:r w:rsidRPr="009C0916">
        <w:t>.</w:t>
      </w:r>
    </w:p>
    <w:p w14:paraId="41A147CF" w14:textId="77777777" w:rsidR="009C0916" w:rsidRDefault="009C0916" w:rsidP="009C0916">
      <w:pPr>
        <w:jc w:val="both"/>
      </w:pPr>
      <w:r w:rsidRPr="009C0916">
        <w:t xml:space="preserve">Tenga en cuenta que las personas identificadas en un informe de productos ESG no son responsables de las opiniones expresadas en él y se nombran solo con fines de contacto. Un informe relativo a un Producto ESG no es ni un folleto ni un sustituto de la información recopilada, verificada y presentada a los inversores por el emisor y sus agentes en relación con la venta de instrumentos financieros y valores. Los productos ESG no se consideran asesoramiento de inversión y no son ni deben considerarse como un sustituto de la propia evaluación de cualquier persona de los factores ESG relacionados con un instrumento financiero o una entidad. [Sustainable Fitch] no declara, garantiza ni garantiza que un Producto ESG cumplirá con ninguno de sus propósitos o necesidades particulares o los de cualquier otra persona. Fitch Sostenible no recomienda la compra o venta de instrumentos financieros o valores, ni brinda asesoramiento de inversión ni proporciona ningún </w:t>
      </w:r>
      <w:r w:rsidRPr="009C0916">
        <w:lastRenderedPageBreak/>
        <w:t>servicio legal, de auditoría, contabilidad, tasación o actuarial. Los productos ESG no son una opinión sobre el valor de los instrumentos financieros o valores. Fitch Sostenible no audita ni verifica la exactitud de la información que le proporciona ningún tercero con el propósito de emitir un Producto ESG, incluidos, entre otros, los emisores, sus representantes, contadores y asesores legales y otros. Fitch sostenible no representa, garantiza ni garantiza la exactitud, corrección, integridad, integridad o puntualidad de ninguna parte del Producto ESG. La información en un informe de productos ESG se proporciona "tal cual" sin ninguna representación o garantía de ningún tipo, y Sustainable Fitch no declara ni garantiza que el informe o cualquiera de sus contenidos cumplirá con alguno de los requisitos de un destinatario del informe.</w:t>
      </w:r>
    </w:p>
    <w:p w14:paraId="68B53447" w14:textId="77777777" w:rsidR="009C0916" w:rsidRDefault="009C0916" w:rsidP="009C0916">
      <w:pPr>
        <w:jc w:val="both"/>
      </w:pPr>
      <w:r w:rsidRPr="009C0916">
        <w:t>Fitch Sostenible recibe honorarios de entidades y otros participantes del mercado que solicitan Productos ESG en relación con el análisis realizado para asignar un Producto ESG a un determinado instrumento financiero y/o entidad. La cesión, publicación o difusión de un Producto ESG por parte de Sustainable Fitch no constituirá un consentimiento por parte de Sustainable Fitch para usar su nombre como experto en relación con cualquier declaración de registro presentada bajo las leyes de valores de los Estados Unidos, la Ley de Servicios y Mercados Financieros de 2000 del Reino Unido o las leyes de valores de cualquier jurisdicción en particular.</w:t>
      </w:r>
    </w:p>
    <w:p w14:paraId="7056DBD6" w14:textId="68C4CF87" w:rsidR="009C0916" w:rsidRDefault="009C0916" w:rsidP="009C0916">
      <w:pPr>
        <w:jc w:val="both"/>
      </w:pPr>
      <w:r w:rsidRPr="009C0916">
        <w:t>Productos ESG ofrecidos a clientes en Australia. Los productos ESG en Australia solo están disponibles para clientes mayoristas (según se define en la sección 761G de la Ley de Corporaciones (</w:t>
      </w:r>
      <w:proofErr w:type="spellStart"/>
      <w:r w:rsidRPr="009C0916">
        <w:t>Cth</w:t>
      </w:r>
      <w:proofErr w:type="spellEnd"/>
      <w:r w:rsidRPr="009C0916">
        <w:t xml:space="preserve">) (la "Ley")) en Australia. La información relacionada con los Productos ESG publicada por Sustainable Fitch no está destinada a ser utilizada por personas que sean clientes minoristas en el sentido de la Ley ("Clientes Minoristas") en Australia. Nadie distribuirá, divulgará o hará referencia a ninguna información relacionada con ESG </w:t>
      </w:r>
      <w:proofErr w:type="spellStart"/>
      <w:r w:rsidRPr="009C0916">
        <w:t>Products</w:t>
      </w:r>
      <w:proofErr w:type="spellEnd"/>
      <w:r w:rsidRPr="009C0916">
        <w:t xml:space="preserve"> de una manera que tiene la intención de (o podría considerarse razonablemente que tiene la intención de) influir en un Cliente Minorista en la toma de una decisión en relación con un producto financiero en particular (según se define en la Ley) o clase de productos financieros, a menos que así lo exija la ley para cumplir con las obligaciones de divulgación continua. Nadie hará referencia a ninguna información de Productos ESG en ninguna publicación, material promocional, documento de divulgación, correspondencia, sitio web o cualquier otro lugar al que puedan acceder los clientes e inversores que sean Clientes Minoristas en Australia (excepto en las circunstancias permitidas por la ley).</w:t>
      </w:r>
    </w:p>
    <w:p w14:paraId="615A6DA5" w14:textId="77777777" w:rsidR="009C0916" w:rsidRDefault="009C0916" w:rsidP="009C0916">
      <w:pPr>
        <w:jc w:val="both"/>
      </w:pPr>
    </w:p>
    <w:p w14:paraId="0BBBA21E" w14:textId="77777777" w:rsidR="00760CE6" w:rsidRDefault="009C0916" w:rsidP="00760CE6">
      <w:pPr>
        <w:spacing w:after="0"/>
        <w:jc w:val="both"/>
        <w:rPr>
          <w:lang w:val="en-US"/>
        </w:rPr>
      </w:pPr>
      <w:r w:rsidRPr="009C0916">
        <w:rPr>
          <w:lang w:val="en-US"/>
        </w:rPr>
        <w:t>Copyright © 2024 de Sustainable Fitch, Inc.,</w:t>
      </w:r>
    </w:p>
    <w:p w14:paraId="24D57EFA" w14:textId="77777777" w:rsidR="00760CE6" w:rsidRDefault="009C0916" w:rsidP="00760CE6">
      <w:pPr>
        <w:spacing w:after="0"/>
        <w:jc w:val="both"/>
        <w:rPr>
          <w:lang w:val="en-US"/>
        </w:rPr>
      </w:pPr>
      <w:r w:rsidRPr="009C0916">
        <w:rPr>
          <w:lang w:val="en-US"/>
        </w:rPr>
        <w:t>Sustainable Fitch Limited y sus subsidiarias.</w:t>
      </w:r>
    </w:p>
    <w:p w14:paraId="1C96351A" w14:textId="77777777" w:rsidR="00760CE6" w:rsidRDefault="009C0916" w:rsidP="00760CE6">
      <w:pPr>
        <w:spacing w:after="0"/>
        <w:jc w:val="both"/>
        <w:rPr>
          <w:lang w:val="en-US"/>
        </w:rPr>
      </w:pPr>
      <w:r w:rsidRPr="009C0916">
        <w:rPr>
          <w:lang w:val="en-US"/>
        </w:rPr>
        <w:t>300 West 57th Street, Nueva York, NY 10019.</w:t>
      </w:r>
    </w:p>
    <w:p w14:paraId="3BE060DB" w14:textId="77777777" w:rsidR="00760CE6" w:rsidRDefault="009C0916" w:rsidP="00760CE6">
      <w:pPr>
        <w:spacing w:after="0"/>
        <w:jc w:val="both"/>
      </w:pPr>
      <w:r w:rsidRPr="009C0916">
        <w:t>Teléfono: 1-800-753-4824, (212) 908-0500.</w:t>
      </w:r>
    </w:p>
    <w:p w14:paraId="22646D5B" w14:textId="77777777" w:rsidR="00760CE6" w:rsidRDefault="009C0916" w:rsidP="00760CE6">
      <w:pPr>
        <w:spacing w:after="0"/>
        <w:jc w:val="both"/>
      </w:pPr>
      <w:r w:rsidRPr="009C0916">
        <w:t>Queda prohibida la reproducción o retransmisión total o parcial, salvo autorización.</w:t>
      </w:r>
    </w:p>
    <w:p w14:paraId="1C017604" w14:textId="01C40844" w:rsidR="009C0916" w:rsidRDefault="009C0916" w:rsidP="009C0916">
      <w:pPr>
        <w:jc w:val="both"/>
      </w:pPr>
      <w:r w:rsidRPr="009C0916">
        <w:t>Todos los derechos reservados.</w:t>
      </w:r>
    </w:p>
    <w:p w14:paraId="04EC8EAB" w14:textId="77777777" w:rsidR="00760CE6" w:rsidRPr="009C0916" w:rsidRDefault="00760CE6" w:rsidP="009C0916">
      <w:pPr>
        <w:jc w:val="both"/>
      </w:pPr>
    </w:p>
    <w:p w14:paraId="2AA26402" w14:textId="4AB179AA" w:rsidR="009C0916" w:rsidRDefault="009C0916" w:rsidP="009C0916">
      <w:pPr>
        <w:jc w:val="both"/>
      </w:pPr>
      <w:r w:rsidRPr="009C0916">
        <w:rPr>
          <w:noProof/>
        </w:rPr>
        <w:lastRenderedPageBreak/>
        <w:drawing>
          <wp:inline distT="0" distB="0" distL="0" distR="0" wp14:anchorId="6DD28C43" wp14:editId="7E923969">
            <wp:extent cx="5612130" cy="232473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2324735"/>
                    </a:xfrm>
                    <a:prstGeom prst="rect">
                      <a:avLst/>
                    </a:prstGeom>
                  </pic:spPr>
                </pic:pic>
              </a:graphicData>
            </a:graphic>
          </wp:inline>
        </w:drawing>
      </w:r>
    </w:p>
    <w:p w14:paraId="58C8820A" w14:textId="77777777" w:rsidR="009C0916" w:rsidRDefault="009C0916" w:rsidP="009C0916">
      <w:pPr>
        <w:jc w:val="both"/>
      </w:pPr>
    </w:p>
    <w:sectPr w:rsidR="009C09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16"/>
    <w:rsid w:val="005E5EF1"/>
    <w:rsid w:val="00760CE6"/>
    <w:rsid w:val="009C0916"/>
    <w:rsid w:val="00A438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24F6"/>
  <w15:chartTrackingRefBased/>
  <w15:docId w15:val="{3464B338-54DA-4743-85E3-141C0B69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0916"/>
    <w:rPr>
      <w:color w:val="0563C1" w:themeColor="hyperlink"/>
      <w:u w:val="single"/>
    </w:rPr>
  </w:style>
  <w:style w:type="character" w:styleId="Mencinsinresolver">
    <w:name w:val="Unresolved Mention"/>
    <w:basedOn w:val="Fuentedeprrafopredeter"/>
    <w:uiPriority w:val="99"/>
    <w:semiHidden/>
    <w:unhideWhenUsed/>
    <w:rsid w:val="009C0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889100">
      <w:bodyDiv w:val="1"/>
      <w:marLeft w:val="0"/>
      <w:marRight w:val="0"/>
      <w:marTop w:val="0"/>
      <w:marBottom w:val="0"/>
      <w:divBdr>
        <w:top w:val="none" w:sz="0" w:space="0" w:color="auto"/>
        <w:left w:val="none" w:sz="0" w:space="0" w:color="auto"/>
        <w:bottom w:val="none" w:sz="0" w:space="0" w:color="auto"/>
        <w:right w:val="none" w:sz="0" w:space="0" w:color="auto"/>
      </w:divBdr>
      <w:divsChild>
        <w:div w:id="1575821877">
          <w:marLeft w:val="0"/>
          <w:marRight w:val="0"/>
          <w:marTop w:val="150"/>
          <w:marBottom w:val="0"/>
          <w:divBdr>
            <w:top w:val="none" w:sz="0" w:space="0" w:color="auto"/>
            <w:left w:val="none" w:sz="0" w:space="0" w:color="auto"/>
            <w:bottom w:val="none" w:sz="0" w:space="0" w:color="auto"/>
            <w:right w:val="none" w:sz="0" w:space="0" w:color="auto"/>
          </w:divBdr>
          <w:divsChild>
            <w:div w:id="1602104749">
              <w:marLeft w:val="-1050"/>
              <w:marRight w:val="0"/>
              <w:marTop w:val="0"/>
              <w:marBottom w:val="0"/>
              <w:divBdr>
                <w:top w:val="none" w:sz="0" w:space="0" w:color="auto"/>
                <w:left w:val="none" w:sz="0" w:space="0" w:color="auto"/>
                <w:bottom w:val="none" w:sz="0" w:space="0" w:color="auto"/>
                <w:right w:val="none" w:sz="0" w:space="0" w:color="auto"/>
              </w:divBdr>
              <w:divsChild>
                <w:div w:id="1245992824">
                  <w:marLeft w:val="0"/>
                  <w:marRight w:val="300"/>
                  <w:marTop w:val="0"/>
                  <w:marBottom w:val="0"/>
                  <w:divBdr>
                    <w:top w:val="none" w:sz="0" w:space="0" w:color="auto"/>
                    <w:left w:val="none" w:sz="0" w:space="0" w:color="auto"/>
                    <w:bottom w:val="none" w:sz="0" w:space="0" w:color="auto"/>
                    <w:right w:val="none" w:sz="0" w:space="0" w:color="auto"/>
                  </w:divBdr>
                </w:div>
                <w:div w:id="1075664898">
                  <w:marLeft w:val="1050"/>
                  <w:marRight w:val="0"/>
                  <w:marTop w:val="0"/>
                  <w:marBottom w:val="0"/>
                  <w:divBdr>
                    <w:top w:val="none" w:sz="0" w:space="0" w:color="auto"/>
                    <w:left w:val="none" w:sz="0" w:space="0" w:color="auto"/>
                    <w:bottom w:val="none" w:sz="0" w:space="0" w:color="auto"/>
                    <w:right w:val="none" w:sz="0" w:space="0" w:color="auto"/>
                  </w:divBdr>
                  <w:divsChild>
                    <w:div w:id="1199707799">
                      <w:marLeft w:val="0"/>
                      <w:marRight w:val="0"/>
                      <w:marTop w:val="75"/>
                      <w:marBottom w:val="0"/>
                      <w:divBdr>
                        <w:top w:val="none" w:sz="0" w:space="0" w:color="auto"/>
                        <w:left w:val="none" w:sz="0" w:space="0" w:color="auto"/>
                        <w:bottom w:val="none" w:sz="0" w:space="0" w:color="auto"/>
                        <w:right w:val="none" w:sz="0" w:space="0" w:color="auto"/>
                      </w:divBdr>
                      <w:divsChild>
                        <w:div w:id="1385182317">
                          <w:marLeft w:val="0"/>
                          <w:marRight w:val="0"/>
                          <w:marTop w:val="0"/>
                          <w:marBottom w:val="75"/>
                          <w:divBdr>
                            <w:top w:val="none" w:sz="0" w:space="0" w:color="auto"/>
                            <w:left w:val="none" w:sz="0" w:space="0" w:color="auto"/>
                            <w:bottom w:val="single" w:sz="6" w:space="4" w:color="DDDDDD"/>
                            <w:right w:val="none" w:sz="0" w:space="0" w:color="auto"/>
                          </w:divBdr>
                          <w:divsChild>
                            <w:div w:id="1263732171">
                              <w:marLeft w:val="0"/>
                              <w:marRight w:val="0"/>
                              <w:marTop w:val="0"/>
                              <w:marBottom w:val="0"/>
                              <w:divBdr>
                                <w:top w:val="none" w:sz="0" w:space="0" w:color="auto"/>
                                <w:left w:val="none" w:sz="0" w:space="0" w:color="auto"/>
                                <w:bottom w:val="none" w:sz="0" w:space="0" w:color="auto"/>
                                <w:right w:val="none" w:sz="0" w:space="0" w:color="auto"/>
                              </w:divBdr>
                            </w:div>
                          </w:divsChild>
                        </w:div>
                        <w:div w:id="1525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23284">
          <w:marLeft w:val="0"/>
          <w:marRight w:val="0"/>
          <w:marTop w:val="0"/>
          <w:marBottom w:val="0"/>
          <w:divBdr>
            <w:top w:val="none" w:sz="0" w:space="0" w:color="auto"/>
            <w:left w:val="none" w:sz="0" w:space="0" w:color="auto"/>
            <w:bottom w:val="none" w:sz="0" w:space="0" w:color="auto"/>
            <w:right w:val="none" w:sz="0" w:space="0" w:color="auto"/>
          </w:divBdr>
          <w:divsChild>
            <w:div w:id="2023311042">
              <w:marLeft w:val="0"/>
              <w:marRight w:val="0"/>
              <w:marTop w:val="0"/>
              <w:marBottom w:val="0"/>
              <w:divBdr>
                <w:top w:val="none" w:sz="0" w:space="0" w:color="auto"/>
                <w:left w:val="none" w:sz="0" w:space="0" w:color="auto"/>
                <w:bottom w:val="none" w:sz="0" w:space="0" w:color="auto"/>
                <w:right w:val="none" w:sz="0" w:space="0" w:color="auto"/>
              </w:divBdr>
              <w:divsChild>
                <w:div w:id="1717579826">
                  <w:marLeft w:val="0"/>
                  <w:marRight w:val="0"/>
                  <w:marTop w:val="0"/>
                  <w:marBottom w:val="0"/>
                  <w:divBdr>
                    <w:top w:val="none" w:sz="0" w:space="0" w:color="auto"/>
                    <w:left w:val="none" w:sz="0" w:space="0" w:color="auto"/>
                    <w:bottom w:val="none" w:sz="0" w:space="0" w:color="auto"/>
                    <w:right w:val="none" w:sz="0" w:space="0" w:color="auto"/>
                  </w:divBdr>
                  <w:divsChild>
                    <w:div w:id="849415458">
                      <w:marLeft w:val="0"/>
                      <w:marRight w:val="0"/>
                      <w:marTop w:val="0"/>
                      <w:marBottom w:val="0"/>
                      <w:divBdr>
                        <w:top w:val="none" w:sz="0" w:space="0" w:color="auto"/>
                        <w:left w:val="none" w:sz="0" w:space="0" w:color="auto"/>
                        <w:bottom w:val="none" w:sz="0" w:space="0" w:color="auto"/>
                        <w:right w:val="none" w:sz="0" w:space="0" w:color="auto"/>
                      </w:divBdr>
                      <w:divsChild>
                        <w:div w:id="14642290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566068517">
      <w:bodyDiv w:val="1"/>
      <w:marLeft w:val="0"/>
      <w:marRight w:val="0"/>
      <w:marTop w:val="0"/>
      <w:marBottom w:val="0"/>
      <w:divBdr>
        <w:top w:val="none" w:sz="0" w:space="0" w:color="auto"/>
        <w:left w:val="none" w:sz="0" w:space="0" w:color="auto"/>
        <w:bottom w:val="none" w:sz="0" w:space="0" w:color="auto"/>
        <w:right w:val="none" w:sz="0" w:space="0" w:color="auto"/>
      </w:divBdr>
      <w:divsChild>
        <w:div w:id="2123648517">
          <w:marLeft w:val="0"/>
          <w:marRight w:val="0"/>
          <w:marTop w:val="0"/>
          <w:marBottom w:val="0"/>
          <w:divBdr>
            <w:top w:val="none" w:sz="0" w:space="0" w:color="auto"/>
            <w:left w:val="none" w:sz="0" w:space="0" w:color="auto"/>
            <w:bottom w:val="none" w:sz="0" w:space="0" w:color="auto"/>
            <w:right w:val="none" w:sz="0" w:space="0" w:color="auto"/>
          </w:divBdr>
          <w:divsChild>
            <w:div w:id="1066604869">
              <w:marLeft w:val="0"/>
              <w:marRight w:val="0"/>
              <w:marTop w:val="0"/>
              <w:marBottom w:val="0"/>
              <w:divBdr>
                <w:top w:val="none" w:sz="0" w:space="0" w:color="auto"/>
                <w:left w:val="none" w:sz="0" w:space="0" w:color="auto"/>
                <w:bottom w:val="none" w:sz="0" w:space="0" w:color="auto"/>
                <w:right w:val="none" w:sz="0" w:space="0" w:color="auto"/>
              </w:divBdr>
            </w:div>
          </w:divsChild>
        </w:div>
        <w:div w:id="394206643">
          <w:marLeft w:val="0"/>
          <w:marRight w:val="0"/>
          <w:marTop w:val="0"/>
          <w:marBottom w:val="0"/>
          <w:divBdr>
            <w:top w:val="none" w:sz="0" w:space="0" w:color="auto"/>
            <w:left w:val="none" w:sz="0" w:space="0" w:color="auto"/>
            <w:bottom w:val="none" w:sz="0" w:space="0" w:color="auto"/>
            <w:right w:val="none" w:sz="0" w:space="0" w:color="auto"/>
          </w:divBdr>
          <w:divsChild>
            <w:div w:id="1170565370">
              <w:marLeft w:val="0"/>
              <w:marRight w:val="0"/>
              <w:marTop w:val="0"/>
              <w:marBottom w:val="0"/>
              <w:divBdr>
                <w:top w:val="none" w:sz="0" w:space="0" w:color="auto"/>
                <w:left w:val="none" w:sz="0" w:space="0" w:color="auto"/>
                <w:bottom w:val="none" w:sz="0" w:space="0" w:color="auto"/>
                <w:right w:val="none" w:sz="0" w:space="0" w:color="auto"/>
              </w:divBdr>
            </w:div>
            <w:div w:id="825170089">
              <w:marLeft w:val="0"/>
              <w:marRight w:val="0"/>
              <w:marTop w:val="0"/>
              <w:marBottom w:val="0"/>
              <w:divBdr>
                <w:top w:val="none" w:sz="0" w:space="0" w:color="auto"/>
                <w:left w:val="none" w:sz="0" w:space="0" w:color="auto"/>
                <w:bottom w:val="none" w:sz="0" w:space="0" w:color="auto"/>
                <w:right w:val="none" w:sz="0" w:space="0" w:color="auto"/>
              </w:divBdr>
              <w:divsChild>
                <w:div w:id="13927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tainablefitch.com/site/re/10281290" TargetMode="External"/><Relationship Id="rId13" Type="http://schemas.openxmlformats.org/officeDocument/2006/relationships/hyperlink" Target="mailto:eleis.brennan@thefitchgroup.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tahmina.pinnington-mannan@thefitchgroup.com" TargetMode="External"/><Relationship Id="rId1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hyperlink" Target="http://www.sustainablefitch.com/" TargetMode="External"/><Relationship Id="rId1" Type="http://schemas.openxmlformats.org/officeDocument/2006/relationships/styles" Target="styles.xml"/><Relationship Id="rId6" Type="http://schemas.openxmlformats.org/officeDocument/2006/relationships/hyperlink" Target="https://74n5c4m7.r.eu-west-1.awstrack.me/L0/https:%2F%2Fwww.sustainablefitch.com%2Ffund-asset-managers%2Fsustainable-fitch-esma-fund-name-exclusions-could-affect-investment-in-higher-emitting-sectors-22-08-2024/3/010201917d08faaf-6d4dfaff-b5f8-4990-8fcb-fa960e343b3e-000000/sVGeI51C_nEgIMUmbHgnCWRrJWo=388" TargetMode="External"/><Relationship Id="rId11" Type="http://schemas.openxmlformats.org/officeDocument/2006/relationships/hyperlink" Target="mailto:marina.petroleka@sustainablefitch.com" TargetMode="External"/><Relationship Id="rId5" Type="http://schemas.openxmlformats.org/officeDocument/2006/relationships/hyperlink" Target="https://www.esginvestor.net/author/emmyhawker/" TargetMode="External"/><Relationship Id="rId15" Type="http://schemas.openxmlformats.org/officeDocument/2006/relationships/hyperlink" Target="http://www.sustainablefitch.com/" TargetMode="External"/><Relationship Id="rId10" Type="http://schemas.openxmlformats.org/officeDocument/2006/relationships/hyperlink" Target="mailto:tamara.tisminetzky@sustainablefitch.com"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ustainablefitch.com/" TargetMode="External"/><Relationship Id="rId14" Type="http://schemas.openxmlformats.org/officeDocument/2006/relationships/hyperlink" Target="mailto:peter.hoflich@thefitchgroup.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1757</Words>
  <Characters>9669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2024-08-28T00:24:00Z</dcterms:created>
  <dcterms:modified xsi:type="dcterms:W3CDTF">2024-09-03T03:18:00Z</dcterms:modified>
</cp:coreProperties>
</file>