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18480" w14:textId="4CC584E9" w:rsidR="009079F7" w:rsidRPr="0088512B" w:rsidRDefault="009079F7" w:rsidP="009079F7">
      <w:pPr>
        <w:jc w:val="both"/>
        <w:rPr>
          <w:rFonts w:ascii="Abadi" w:hAnsi="Abadi"/>
          <w:sz w:val="28"/>
          <w:szCs w:val="28"/>
        </w:rPr>
      </w:pPr>
      <w:r w:rsidRPr="0088512B">
        <w:rPr>
          <w:rFonts w:ascii="Abadi" w:hAnsi="Abadi"/>
          <w:sz w:val="28"/>
          <w:szCs w:val="28"/>
        </w:rPr>
        <w:t>Lenguaje impreciso en los informes climáticos australianos</w:t>
      </w:r>
    </w:p>
    <w:p w14:paraId="3D74E616" w14:textId="224FDCDA" w:rsidR="009079F7" w:rsidRPr="009079F7" w:rsidRDefault="009079F7" w:rsidP="009079F7">
      <w:pPr>
        <w:jc w:val="both"/>
      </w:pPr>
      <w:r w:rsidRPr="009079F7">
        <w:rPr>
          <w:noProof/>
        </w:rPr>
        <w:drawing>
          <wp:inline distT="0" distB="0" distL="0" distR="0" wp14:anchorId="4AE7493D" wp14:editId="4C743CDE">
            <wp:extent cx="480060" cy="480060"/>
            <wp:effectExtent l="0" t="0" r="0" b="0"/>
            <wp:docPr id="1" name="Imagen 1" descr="espacio en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cio en blanc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
    <w:p w14:paraId="48ABADB0" w14:textId="157FFC94" w:rsidR="009079F7" w:rsidRPr="009079F7" w:rsidRDefault="009079F7" w:rsidP="009079F7">
      <w:pPr>
        <w:jc w:val="both"/>
      </w:pPr>
      <w:r w:rsidRPr="009079F7">
        <w:t>Por</w:t>
      </w:r>
      <w:r>
        <w:t xml:space="preserve">: </w:t>
      </w:r>
      <w:hyperlink r:id="rId6" w:tooltip="Posts by ESG Investor" w:history="1">
        <w:r w:rsidRPr="009079F7">
          <w:rPr>
            <w:rStyle w:val="Hipervnculo"/>
          </w:rPr>
          <w:t>Inversor ESG</w:t>
        </w:r>
      </w:hyperlink>
    </w:p>
    <w:p w14:paraId="2AC61514" w14:textId="77777777" w:rsidR="009079F7" w:rsidRPr="009079F7" w:rsidRDefault="009079F7" w:rsidP="009079F7">
      <w:pPr>
        <w:jc w:val="both"/>
      </w:pPr>
      <w:r w:rsidRPr="009079F7">
        <w:t>27 de agosto de 2024</w:t>
      </w:r>
    </w:p>
    <w:p w14:paraId="0C237636" w14:textId="40AE7D5B" w:rsidR="009079F7" w:rsidRPr="009079F7" w:rsidRDefault="009079F7" w:rsidP="009079F7">
      <w:pPr>
        <w:jc w:val="both"/>
      </w:pPr>
      <w:r w:rsidRPr="009079F7">
        <w:t>Los inversores y las empresas están utilizando términos vagos e intercambiables en sus divulgaciones relacionadas con el clima, según un nuevo</w:t>
      </w:r>
      <w:r w:rsidR="0088512B">
        <w:t xml:space="preserve"> </w:t>
      </w:r>
      <w:hyperlink r:id="rId7" w:history="1">
        <w:r w:rsidRPr="009079F7">
          <w:rPr>
            <w:rStyle w:val="Hipervnculo"/>
            <w:b/>
            <w:bCs/>
          </w:rPr>
          <w:t>informe</w:t>
        </w:r>
      </w:hyperlink>
      <w:r w:rsidR="0088512B">
        <w:t xml:space="preserve"> </w:t>
      </w:r>
      <w:r w:rsidRPr="009079F7">
        <w:t>de lavado verde de la Comisión Australiana de Valores e Inversiones (ASIC). El regulador realizó 47 intervenciones durante los 15 meses hasta junio de 2024, emitiendo más de 123.000 dólares australianos (82.000 dólares) en avisos de infracción a empresas como</w:t>
      </w:r>
      <w:r w:rsidR="0088512B">
        <w:t xml:space="preserve"> </w:t>
      </w:r>
      <w:hyperlink r:id="rId8" w:history="1">
        <w:r w:rsidRPr="009079F7">
          <w:rPr>
            <w:rStyle w:val="Hipervnculo"/>
            <w:b/>
            <w:bCs/>
          </w:rPr>
          <w:t>Northern Trust Asset Management</w:t>
        </w:r>
      </w:hyperlink>
      <w:r w:rsidR="0088512B">
        <w:t xml:space="preserve"> </w:t>
      </w:r>
      <w:r w:rsidRPr="009079F7">
        <w:t>y</w:t>
      </w:r>
      <w:r w:rsidR="0088512B">
        <w:t xml:space="preserve"> </w:t>
      </w:r>
      <w:hyperlink r:id="rId9" w:history="1">
        <w:r w:rsidRPr="009079F7">
          <w:rPr>
            <w:rStyle w:val="Hipervnculo"/>
            <w:b/>
            <w:bCs/>
          </w:rPr>
          <w:t>Morningstar Investment Management</w:t>
        </w:r>
      </w:hyperlink>
      <w:r w:rsidRPr="009079F7">
        <w:t>. El informe también enumeró los procedimientos de sanción civil contra el fondo de jubilación Active Super, el fideicomisario</w:t>
      </w:r>
      <w:r w:rsidR="0088512B">
        <w:t xml:space="preserve"> </w:t>
      </w:r>
      <w:hyperlink r:id="rId10" w:history="1">
        <w:r w:rsidRPr="009079F7">
          <w:rPr>
            <w:rStyle w:val="Hipervnculo"/>
            <w:b/>
            <w:bCs/>
          </w:rPr>
          <w:t>LGSS Pty Limited</w:t>
        </w:r>
      </w:hyperlink>
      <w:r w:rsidRPr="009079F7">
        <w:t>,</w:t>
      </w:r>
      <w:r w:rsidR="0088512B">
        <w:t xml:space="preserve"> </w:t>
      </w:r>
      <w:hyperlink r:id="rId11" w:history="1">
        <w:r w:rsidRPr="009079F7">
          <w:rPr>
            <w:rStyle w:val="Hipervnculo"/>
            <w:b/>
            <w:bCs/>
          </w:rPr>
          <w:t>Vanguard Investments Australia</w:t>
        </w:r>
      </w:hyperlink>
      <w:r w:rsidR="0088512B">
        <w:t xml:space="preserve"> </w:t>
      </w:r>
      <w:r w:rsidRPr="009079F7">
        <w:t>y</w:t>
      </w:r>
      <w:r w:rsidR="0088512B">
        <w:t xml:space="preserve"> </w:t>
      </w:r>
      <w:hyperlink r:id="rId12" w:history="1">
        <w:r w:rsidRPr="009079F7">
          <w:rPr>
            <w:rStyle w:val="Hipervnculo"/>
            <w:b/>
            <w:bCs/>
          </w:rPr>
          <w:t>Mercer Superannuation</w:t>
        </w:r>
      </w:hyperlink>
      <w:r w:rsidRPr="009079F7">
        <w:t xml:space="preserve">. Los tribunales determinaron que los tres habían incurrido en lavado verde, y Mercer recibió una multa de 11,3 millones de dólares australianos. La ASIC encontró un uso inconsistente e intercambiable de términos clave en las divulgaciones de las empresas que cotizan en bolsa, como "emisiones netas cero" y "neutro en carbono". También señaló la insuficiente divulgación de los principales insumos, hipótesis y contingencias utilizados para las declaraciones relacionadas con el clima. El regulador dijo que los fideicomisarios de jubilación habían utilizado una terminología vaga al hacer reclamos, a veces proporcionando representaciones infundadas </w:t>
      </w:r>
      <w:r w:rsidR="0088512B" w:rsidRPr="009079F7">
        <w:t>u</w:t>
      </w:r>
      <w:r w:rsidRPr="009079F7">
        <w:t xml:space="preserve"> omitiendo detalles sobre las inversiones mantenidas. "Un pequeño número de fondos de jubilación tenían inversiones en empresas que parecían estar violando sus propios criterios de exclusión de inversiones", dijo la ASIC. Para ayudar a las entidades reguladas a evitar conductas indebidas relacionadas con el lavado verde, la comisión dijo que deberían considerar los requisitos de divulgación relevantes en los Estándares Australianos de Informes de Sostenibilidad cuando divulguen métricas y objetivos relacionados con el clima de manera voluntaria. La semana pasada, el Senado australiano</w:t>
      </w:r>
      <w:r w:rsidR="0088512B">
        <w:t xml:space="preserve"> </w:t>
      </w:r>
      <w:hyperlink r:id="rId13" w:history="1">
        <w:r w:rsidRPr="009079F7">
          <w:rPr>
            <w:rStyle w:val="Hipervnculo"/>
            <w:b/>
            <w:bCs/>
          </w:rPr>
          <w:t>aprobó</w:t>
        </w:r>
      </w:hyperlink>
      <w:r w:rsidR="0088512B">
        <w:t xml:space="preserve"> </w:t>
      </w:r>
      <w:r w:rsidRPr="009079F7">
        <w:t>enmiendas históricas a la Ley de Corporaciones, introduciendo informes climáticos obligatorios alineados con las divulgaciones relacionadas con el clima S2 del Consejo de Normas Internacionales de Sostenibilidad.</w:t>
      </w:r>
    </w:p>
    <w:p w14:paraId="48DCA389" w14:textId="002F1400" w:rsidR="005B438E" w:rsidRDefault="005B438E" w:rsidP="009079F7">
      <w:pPr>
        <w:jc w:val="both"/>
      </w:pPr>
    </w:p>
    <w:p w14:paraId="291EE199" w14:textId="20C17AC2" w:rsidR="009079F7" w:rsidRDefault="009079F7" w:rsidP="009079F7">
      <w:pPr>
        <w:jc w:val="both"/>
      </w:pPr>
    </w:p>
    <w:p w14:paraId="398F33FA" w14:textId="45C9CCF2" w:rsidR="009079F7" w:rsidRDefault="009079F7" w:rsidP="009079F7">
      <w:pPr>
        <w:jc w:val="both"/>
      </w:pPr>
    </w:p>
    <w:p w14:paraId="69C8328F" w14:textId="40487F33" w:rsidR="009079F7" w:rsidRDefault="009079F7" w:rsidP="009079F7">
      <w:pPr>
        <w:jc w:val="both"/>
      </w:pPr>
    </w:p>
    <w:p w14:paraId="3844ACE8" w14:textId="3DAA10E8" w:rsidR="009079F7" w:rsidRDefault="009079F7" w:rsidP="009079F7">
      <w:pPr>
        <w:jc w:val="both"/>
      </w:pPr>
    </w:p>
    <w:p w14:paraId="405758D7" w14:textId="71F811A9" w:rsidR="009079F7" w:rsidRDefault="009079F7" w:rsidP="009079F7">
      <w:pPr>
        <w:jc w:val="both"/>
      </w:pPr>
    </w:p>
    <w:p w14:paraId="54CA6D44" w14:textId="74CEA0B1" w:rsidR="009079F7" w:rsidRDefault="009079F7" w:rsidP="009079F7">
      <w:pPr>
        <w:jc w:val="both"/>
      </w:pPr>
    </w:p>
    <w:p w14:paraId="35F7A215" w14:textId="7811DC2A" w:rsidR="009079F7" w:rsidRDefault="009079F7" w:rsidP="009079F7">
      <w:pPr>
        <w:jc w:val="both"/>
      </w:pPr>
    </w:p>
    <w:p w14:paraId="30BFF53C" w14:textId="77777777" w:rsidR="009079F7" w:rsidRPr="0088512B" w:rsidRDefault="009079F7" w:rsidP="009079F7">
      <w:pPr>
        <w:jc w:val="both"/>
        <w:rPr>
          <w:rFonts w:ascii="Abadi" w:hAnsi="Abadi"/>
          <w:sz w:val="24"/>
          <w:szCs w:val="24"/>
        </w:rPr>
      </w:pPr>
      <w:r w:rsidRPr="0088512B">
        <w:rPr>
          <w:rFonts w:ascii="Abadi" w:hAnsi="Abadi"/>
          <w:sz w:val="24"/>
          <w:szCs w:val="24"/>
        </w:rPr>
        <w:lastRenderedPageBreak/>
        <w:t>La ASIC continúa tomando medidas sobre las afirmaciones engañosas para disuadir la mala conducta de greenwashing</w:t>
      </w:r>
    </w:p>
    <w:p w14:paraId="4F2FCB4C" w14:textId="42AA5784" w:rsidR="009079F7" w:rsidRPr="009079F7" w:rsidRDefault="009079F7" w:rsidP="009079F7">
      <w:pPr>
        <w:jc w:val="both"/>
      </w:pPr>
      <w:r w:rsidRPr="009079F7">
        <w:t>Publicado</w:t>
      </w:r>
      <w:r w:rsidR="0088512B">
        <w:t xml:space="preserve"> </w:t>
      </w:r>
      <w:r w:rsidRPr="009079F7">
        <w:t>23 agosto 2024</w:t>
      </w:r>
    </w:p>
    <w:p w14:paraId="77970DE7" w14:textId="77777777" w:rsidR="009079F7" w:rsidRPr="009079F7" w:rsidRDefault="009079F7" w:rsidP="009079F7">
      <w:pPr>
        <w:jc w:val="both"/>
      </w:pPr>
      <w:r w:rsidRPr="009079F7">
        <w:t>La ASIC ha realizado 47 intervenciones regulatorias para abordar la mala conducta de lavado verde durante el período de 15 meses hasta el 30 de junio de 2024, incluido el inicio de dos procedimientos en el Tribunal Federal y más de $ 123,000 en pagos de avisos de infracción.</w:t>
      </w:r>
    </w:p>
    <w:p w14:paraId="78FD5B50" w14:textId="1A8337E8" w:rsidR="009079F7" w:rsidRPr="009079F7" w:rsidRDefault="009079F7" w:rsidP="009079F7">
      <w:pPr>
        <w:jc w:val="both"/>
      </w:pPr>
      <w:r w:rsidRPr="009079F7">
        <w:t>La gama de intervenciones, descritas en el Informe 791</w:t>
      </w:r>
      <w:r w:rsidR="0088512B">
        <w:t xml:space="preserve"> </w:t>
      </w:r>
      <w:r w:rsidRPr="009079F7">
        <w:rPr>
          <w:i/>
          <w:iCs/>
        </w:rPr>
        <w:t>Intervenciones de la ASIC sobre la mala conducta de lavado verde: 2023-2024</w:t>
      </w:r>
      <w:r w:rsidR="0088512B">
        <w:t xml:space="preserve"> </w:t>
      </w:r>
      <w:r w:rsidRPr="009079F7">
        <w:t>(</w:t>
      </w:r>
      <w:hyperlink r:id="rId14" w:tooltip="REP 791 ASIC’s interventions on greenwashing misconduct: 2023–2024" w:history="1">
        <w:r w:rsidRPr="009079F7">
          <w:rPr>
            <w:rStyle w:val="Hipervnculo"/>
          </w:rPr>
          <w:t>REP 791</w:t>
        </w:r>
      </w:hyperlink>
      <w:r w:rsidRPr="009079F7">
        <w:t>), tienen como objetivo erradicar las conductas engañosas y engañosas en relación con los productos y servicios relacionados con las finanzas sostenibles.</w:t>
      </w:r>
    </w:p>
    <w:p w14:paraId="2AA50AC5" w14:textId="77777777" w:rsidR="009079F7" w:rsidRPr="009079F7" w:rsidRDefault="009079F7" w:rsidP="009079F7">
      <w:pPr>
        <w:jc w:val="both"/>
      </w:pPr>
      <w:r w:rsidRPr="009079F7">
        <w:t>El informe también detalla las conclusiones, recomendaciones y ejemplos de buenas prácticas de sus actividades de supervisión entre el 1 de abril de 2023 y el 30 de junio de 2024.</w:t>
      </w:r>
    </w:p>
    <w:p w14:paraId="189AE10A" w14:textId="77777777" w:rsidR="009079F7" w:rsidRPr="009079F7" w:rsidRDefault="009079F7" w:rsidP="009079F7">
      <w:pPr>
        <w:jc w:val="both"/>
      </w:pPr>
      <w:r w:rsidRPr="009079F7">
        <w:t>La comisionada de la ASIC, Kate O'Rourke, dijo que combatir el lavado verde es fundamental para mantener la confianza en los productos y servicios relacionados con las finanzas sostenibles.</w:t>
      </w:r>
    </w:p>
    <w:p w14:paraId="08B7FC53" w14:textId="77777777" w:rsidR="009079F7" w:rsidRPr="009079F7" w:rsidRDefault="009079F7" w:rsidP="009079F7">
      <w:pPr>
        <w:jc w:val="both"/>
      </w:pPr>
      <w:r w:rsidRPr="009079F7">
        <w:t>«Los inversores y los consumidores tienen derecho a recibir información precisa y fiable para poder tomar decisiones de inversión informadas y seguras. Las afirmaciones de greenwashing engañan a los inversores y a los consumidores, y socavan la confianza.</w:t>
      </w:r>
    </w:p>
    <w:p w14:paraId="1557BEC4" w14:textId="77777777" w:rsidR="009079F7" w:rsidRPr="009079F7" w:rsidRDefault="009079F7" w:rsidP="009079F7">
      <w:pPr>
        <w:jc w:val="both"/>
      </w:pPr>
      <w:r w:rsidRPr="009079F7">
        <w:t>"En los casos en los que hemos identificado conductas indebidas de lavado verde, la ASIC ha intervenido para proteger a los inversores y consumidores, y para mantener la integridad del mercado".</w:t>
      </w:r>
    </w:p>
    <w:p w14:paraId="623E2B09" w14:textId="77777777" w:rsidR="009079F7" w:rsidRPr="009079F7" w:rsidRDefault="009079F7" w:rsidP="009079F7">
      <w:pPr>
        <w:jc w:val="both"/>
      </w:pPr>
      <w:r w:rsidRPr="009079F7">
        <w:t>Las intervenciones entre el 1 de abril de 2023 y el 30 de junio de 2024 incluyeron:</w:t>
      </w:r>
    </w:p>
    <w:p w14:paraId="0605DD34" w14:textId="77777777" w:rsidR="009079F7" w:rsidRPr="009079F7" w:rsidRDefault="009079F7" w:rsidP="009079F7">
      <w:pPr>
        <w:numPr>
          <w:ilvl w:val="0"/>
          <w:numId w:val="1"/>
        </w:numPr>
        <w:jc w:val="both"/>
      </w:pPr>
      <w:r w:rsidRPr="009079F7">
        <w:t>la obtención de 37 resultados de divulgación correctiva por parte de diversas entidades,</w:t>
      </w:r>
    </w:p>
    <w:p w14:paraId="2A03BAB5" w14:textId="77777777" w:rsidR="009079F7" w:rsidRPr="009079F7" w:rsidRDefault="009079F7" w:rsidP="009079F7">
      <w:pPr>
        <w:numPr>
          <w:ilvl w:val="0"/>
          <w:numId w:val="1"/>
        </w:numPr>
        <w:jc w:val="both"/>
      </w:pPr>
      <w:r w:rsidRPr="009079F7">
        <w:t>emitir ocho avisos de infracción por un total de más de $123,000, y</w:t>
      </w:r>
    </w:p>
    <w:p w14:paraId="6C1E68AD" w14:textId="51FBDCDF" w:rsidR="009079F7" w:rsidRPr="009079F7" w:rsidRDefault="009079F7" w:rsidP="009079F7">
      <w:pPr>
        <w:numPr>
          <w:ilvl w:val="0"/>
          <w:numId w:val="1"/>
        </w:numPr>
        <w:jc w:val="both"/>
      </w:pPr>
      <w:r w:rsidRPr="009079F7">
        <w:t>iniciando procedimientos de sanción civil contra LGSS Pty Limited (Active Super) (</w:t>
      </w:r>
      <w:hyperlink r:id="rId15" w:tooltip="24-121MR Court finds Active Super made misleading ESG claims in a greenwashing action brought by ASIC" w:history="1">
        <w:r w:rsidRPr="009079F7">
          <w:rPr>
            <w:rStyle w:val="Hipervnculo"/>
          </w:rPr>
          <w:t>24-121MR)</w:t>
        </w:r>
      </w:hyperlink>
      <w:r w:rsidR="0088512B">
        <w:t xml:space="preserve"> </w:t>
      </w:r>
      <w:r w:rsidRPr="009079F7">
        <w:t>y Vanguard Investments Australia (</w:t>
      </w:r>
      <w:hyperlink r:id="rId16" w:tooltip="24-061MR ASIC wins first greenwashing civil penalty action against Vanguard" w:history="1">
        <w:r w:rsidRPr="009079F7">
          <w:rPr>
            <w:rStyle w:val="Hipervnculo"/>
          </w:rPr>
          <w:t>24-061MR</w:t>
        </w:r>
      </w:hyperlink>
      <w:r w:rsidRPr="009079F7">
        <w:t>).</w:t>
      </w:r>
    </w:p>
    <w:p w14:paraId="65A29428" w14:textId="5084673C" w:rsidR="009079F7" w:rsidRPr="009079F7" w:rsidRDefault="009079F7" w:rsidP="009079F7">
      <w:pPr>
        <w:jc w:val="both"/>
      </w:pPr>
      <w:r w:rsidRPr="009079F7">
        <w:t>La ASIC también avanzó en el procedimiento de sanción civil contra Mercer Superannuation (Australia) Limited (</w:t>
      </w:r>
      <w:hyperlink r:id="rId17" w:tooltip="24-173MR ASIC’s first greenwashing case results in landmark $11.3 million penalty for Mercer" w:history="1">
        <w:r w:rsidRPr="009079F7">
          <w:rPr>
            <w:rStyle w:val="Hipervnculo"/>
          </w:rPr>
          <w:t>24-173MR),</w:t>
        </w:r>
      </w:hyperlink>
      <w:r w:rsidR="0088512B">
        <w:t xml:space="preserve"> </w:t>
      </w:r>
      <w:r w:rsidRPr="009079F7">
        <w:t>que concluyó con una multa de 11,3 millones de dólares.</w:t>
      </w:r>
    </w:p>
    <w:p w14:paraId="291A9E2C" w14:textId="77777777" w:rsidR="009079F7" w:rsidRPr="009079F7" w:rsidRDefault="009079F7" w:rsidP="009079F7">
      <w:pPr>
        <w:jc w:val="both"/>
      </w:pPr>
      <w:r w:rsidRPr="009079F7">
        <w:t>Las intervenciones regulatorias de la ASIC se relacionaron con:</w:t>
      </w:r>
    </w:p>
    <w:p w14:paraId="7D32B714" w14:textId="77777777" w:rsidR="009079F7" w:rsidRPr="009079F7" w:rsidRDefault="009079F7" w:rsidP="009079F7">
      <w:pPr>
        <w:numPr>
          <w:ilvl w:val="0"/>
          <w:numId w:val="2"/>
        </w:numPr>
        <w:jc w:val="both"/>
      </w:pPr>
      <w:r w:rsidRPr="009079F7">
        <w:t>divulgación insuficiente sobre el alcance de los filtros de inversión ESG y las metodologías de inversión,</w:t>
      </w:r>
    </w:p>
    <w:p w14:paraId="1DA663D8" w14:textId="77777777" w:rsidR="009079F7" w:rsidRPr="009079F7" w:rsidRDefault="009079F7" w:rsidP="009079F7">
      <w:pPr>
        <w:numPr>
          <w:ilvl w:val="0"/>
          <w:numId w:val="2"/>
        </w:numPr>
        <w:jc w:val="both"/>
      </w:pPr>
      <w:r w:rsidRPr="009079F7">
        <w:t>inversiones subyacentes que sean incoherentes con los filtros de inversión ESG y las políticas de inversión divulgados, y</w:t>
      </w:r>
    </w:p>
    <w:p w14:paraId="13510666" w14:textId="77777777" w:rsidR="009079F7" w:rsidRPr="009079F7" w:rsidRDefault="009079F7" w:rsidP="009079F7">
      <w:pPr>
        <w:numPr>
          <w:ilvl w:val="0"/>
          <w:numId w:val="2"/>
        </w:numPr>
        <w:jc w:val="both"/>
      </w:pPr>
      <w:r w:rsidRPr="009079F7">
        <w:t>Declaraciones relacionadas con la sostenibilidad realizadas sin motivos razonables o sin suficiente detalle.</w:t>
      </w:r>
    </w:p>
    <w:p w14:paraId="266F41FC" w14:textId="77777777" w:rsidR="009079F7" w:rsidRPr="009079F7" w:rsidRDefault="009079F7" w:rsidP="009079F7">
      <w:pPr>
        <w:jc w:val="both"/>
      </w:pPr>
      <w:r w:rsidRPr="009079F7">
        <w:lastRenderedPageBreak/>
        <w:t>Las actividades de vigilancia del blanqueo verde de la ASIC abarcaron una amplia gama de sectores, incluidas las empresas que cotizan en bolsa, los fondos gestionados, los fondos de jubilación y el mercado mayorista de bonos verdes.</w:t>
      </w:r>
    </w:p>
    <w:p w14:paraId="15432C9A" w14:textId="77777777" w:rsidR="009079F7" w:rsidRPr="009079F7" w:rsidRDefault="009079F7" w:rsidP="009079F7">
      <w:pPr>
        <w:jc w:val="both"/>
      </w:pPr>
      <w:r w:rsidRPr="009079F7">
        <w:t>«Nuestra supervisión indica que hay un amplio margen de mejora y animamos encarecidamente a los emisores de productos y a sus asesores a que se centren en la calidad de las divulgaciones y en los datos que las sustentan.</w:t>
      </w:r>
    </w:p>
    <w:p w14:paraId="4D12D16F" w14:textId="77777777" w:rsidR="009079F7" w:rsidRPr="009079F7" w:rsidRDefault="009079F7" w:rsidP="009079F7">
      <w:pPr>
        <w:jc w:val="both"/>
      </w:pPr>
      <w:r w:rsidRPr="009079F7">
        <w:t>«La información relacionada con la sostenibilidad, como cualquier otra, debe ser precisa, basarse en motivos razonables y ser fácilmente comprensible para los inversores», dijo la Sra. O'Rourke.</w:t>
      </w:r>
    </w:p>
    <w:p w14:paraId="65F95FB8" w14:textId="1DF32B1E" w:rsidR="009079F7" w:rsidRPr="009079F7" w:rsidRDefault="009079F7" w:rsidP="009079F7">
      <w:pPr>
        <w:jc w:val="both"/>
      </w:pPr>
      <w:r w:rsidRPr="009079F7">
        <w:t>La ASIC insta a las entidades a tener en cuenta las conclusiones y recomendaciones de este informe, así como de la Hoja informativa 271</w:t>
      </w:r>
      <w:r w:rsidR="0088512B">
        <w:t xml:space="preserve"> </w:t>
      </w:r>
      <w:r w:rsidRPr="009079F7">
        <w:rPr>
          <w:i/>
          <w:iCs/>
        </w:rPr>
        <w:t>Cómo evitar el blanqueo verde al ofrecer o promover productos relacionados con la sostenibilidad</w:t>
      </w:r>
      <w:r w:rsidR="0088512B">
        <w:t xml:space="preserve"> </w:t>
      </w:r>
      <w:r w:rsidRPr="009079F7">
        <w:t>(</w:t>
      </w:r>
      <w:hyperlink r:id="rId18" w:tooltip="How to avoid greenwashing when offering or promoting sustainability-related products" w:history="1">
        <w:r w:rsidRPr="009079F7">
          <w:rPr>
            <w:rStyle w:val="Hipervnculo"/>
          </w:rPr>
          <w:t>INFO 271</w:t>
        </w:r>
      </w:hyperlink>
      <w:r w:rsidRPr="009079F7">
        <w:t>) y el Informe 763</w:t>
      </w:r>
      <w:r w:rsidR="0088512B">
        <w:t xml:space="preserve"> </w:t>
      </w:r>
      <w:r w:rsidRPr="009079F7">
        <w:rPr>
          <w:i/>
          <w:iCs/>
        </w:rPr>
        <w:t>Intervenciones recientes de blanqueo ecológico de la ASIC</w:t>
      </w:r>
      <w:r w:rsidR="0088512B">
        <w:t xml:space="preserve"> </w:t>
      </w:r>
      <w:r w:rsidRPr="009079F7">
        <w:t>(</w:t>
      </w:r>
      <w:hyperlink r:id="rId19" w:tooltip="REP 763 ASIC’s recent greenwashing interventions" w:history="1">
        <w:r w:rsidRPr="009079F7">
          <w:rPr>
            <w:rStyle w:val="Hipervnculo"/>
          </w:rPr>
          <w:t>REP 763</w:t>
        </w:r>
      </w:hyperlink>
      <w:r w:rsidRPr="009079F7">
        <w:t>) para reducir el riesgo de blanqueo verde.</w:t>
      </w:r>
    </w:p>
    <w:p w14:paraId="2ADA123A" w14:textId="77777777" w:rsidR="009079F7" w:rsidRPr="009079F7" w:rsidRDefault="009079F7" w:rsidP="009079F7">
      <w:pPr>
        <w:jc w:val="both"/>
      </w:pPr>
      <w:r w:rsidRPr="009079F7">
        <w:t>La ASIC reconoce los cambios significativos que se avecinan con la introducción propuesta de requisitos obligatorios de divulgación financiera relacionados con el clima para grandes empresas e instituciones financieras. El proyecto de ley que propone esta legislación ya ha sido aprobado por el Senado. Una vez que reciba la sanción real, la información estará disponible en el sitio web de la ASIC.</w:t>
      </w:r>
    </w:p>
    <w:p w14:paraId="0AFA02A1" w14:textId="77777777" w:rsidR="009079F7" w:rsidRPr="009079F7" w:rsidRDefault="009079F7" w:rsidP="009079F7">
      <w:pPr>
        <w:jc w:val="both"/>
      </w:pPr>
      <w:r w:rsidRPr="009079F7">
        <w:t>La ASIC adoptará un enfoque pragmático y proporcionado para la supervisión y aplicación de este nuevo régimen. Colaboraremos estrechamente con la industria a medida que desarrollemos la orientación adecuada para ayudarla a desarrollar la capacidad necesaria para cumplir con las nuevas obligaciones.</w:t>
      </w:r>
    </w:p>
    <w:p w14:paraId="34439FDF" w14:textId="77777777" w:rsidR="009079F7" w:rsidRPr="009079F7" w:rsidRDefault="009079F7" w:rsidP="009079F7">
      <w:pPr>
        <w:jc w:val="both"/>
      </w:pPr>
      <w:r w:rsidRPr="009079F7">
        <w:t>A lo largo de la transición al régimen obligatorio de información climática propuesto, la ASIC actuará para garantizar que se mantengan los estándares actuales de divulgación y gobernanza y que las entidades cumplan con sus obligaciones legales existentes, incluida la prohibición de larga data contra las conductas engañosas y engañosas.</w:t>
      </w:r>
    </w:p>
    <w:p w14:paraId="21590F7F" w14:textId="62AEEAC5" w:rsidR="009079F7" w:rsidRPr="009079F7" w:rsidRDefault="0088512B" w:rsidP="009079F7">
      <w:pPr>
        <w:jc w:val="both"/>
        <w:rPr>
          <w:b/>
          <w:bCs/>
        </w:rPr>
      </w:pPr>
      <w:r>
        <w:rPr>
          <w:b/>
          <w:bCs/>
        </w:rPr>
        <w:t>Antecedentes</w:t>
      </w:r>
    </w:p>
    <w:p w14:paraId="70B43AAC" w14:textId="77777777" w:rsidR="009079F7" w:rsidRPr="009079F7" w:rsidRDefault="009079F7" w:rsidP="009079F7">
      <w:pPr>
        <w:jc w:val="both"/>
      </w:pPr>
      <w:r w:rsidRPr="009079F7">
        <w:t>El greenwashing y las finanzas sostenibles son prioridades clave para ASIC, tal y como se describe en nuestro Plan Corporativo. La ASIC se centra en apoyar la integridad y la eficiencia del mercado a través de la supervisión y el cumplimiento de las normas actuales de gobernanza y divulgación para reducir los daños del lavado verde, al tiempo que se compromete estrechamente con los requisitos de divulgación financiera relacionados con el clima.</w:t>
      </w:r>
    </w:p>
    <w:p w14:paraId="4D3BD9E3" w14:textId="77777777" w:rsidR="009079F7" w:rsidRPr="009079F7" w:rsidRDefault="009079F7" w:rsidP="009079F7">
      <w:pPr>
        <w:jc w:val="both"/>
      </w:pPr>
      <w:r w:rsidRPr="009079F7">
        <w:t>El INFO 271 de la ASIC, publicado en junio de 2022, establece una serie de preguntas que los emisores de productos financieros deben tener en cuenta a la hora de preparar las comunicaciones y divulgaciones sobre productos relacionados con la sostenibilidad.</w:t>
      </w:r>
    </w:p>
    <w:p w14:paraId="0C22A79E" w14:textId="1BBAB191" w:rsidR="009079F7" w:rsidRDefault="009079F7" w:rsidP="009079F7">
      <w:pPr>
        <w:jc w:val="both"/>
      </w:pPr>
      <w:r w:rsidRPr="009079F7">
        <w:t>Los inversores y consumidores pueden consultar el</w:t>
      </w:r>
      <w:r w:rsidR="0088512B">
        <w:t xml:space="preserve"> </w:t>
      </w:r>
      <w:hyperlink r:id="rId20" w:history="1">
        <w:r w:rsidRPr="009079F7">
          <w:rPr>
            <w:rStyle w:val="Hipervnculo"/>
          </w:rPr>
          <w:t>sitio web de Moneysmart</w:t>
        </w:r>
      </w:hyperlink>
      <w:r w:rsidR="0088512B">
        <w:t xml:space="preserve"> </w:t>
      </w:r>
      <w:r w:rsidRPr="009079F7">
        <w:t>para obtener más información sobre la inversión ESG.</w:t>
      </w:r>
    </w:p>
    <w:p w14:paraId="5040CD89" w14:textId="6119D8F5" w:rsidR="00F42AE2" w:rsidRDefault="00F42AE2" w:rsidP="009079F7">
      <w:pPr>
        <w:jc w:val="both"/>
      </w:pPr>
    </w:p>
    <w:p w14:paraId="37A52731" w14:textId="77777777" w:rsidR="00F42AE2" w:rsidRPr="009079F7" w:rsidRDefault="00F42AE2" w:rsidP="009079F7">
      <w:pPr>
        <w:jc w:val="both"/>
      </w:pPr>
    </w:p>
    <w:p w14:paraId="28851D2F" w14:textId="77777777" w:rsidR="009079F7" w:rsidRPr="009079F7" w:rsidRDefault="009079F7" w:rsidP="009079F7">
      <w:pPr>
        <w:jc w:val="both"/>
        <w:rPr>
          <w:b/>
          <w:bCs/>
        </w:rPr>
      </w:pPr>
      <w:r w:rsidRPr="009079F7">
        <w:rPr>
          <w:b/>
          <w:bCs/>
        </w:rPr>
        <w:lastRenderedPageBreak/>
        <w:t>Descargas</w:t>
      </w:r>
    </w:p>
    <w:p w14:paraId="15BD642D" w14:textId="5E514CCC" w:rsidR="009079F7" w:rsidRPr="009079F7" w:rsidRDefault="0088512B" w:rsidP="009079F7">
      <w:pPr>
        <w:numPr>
          <w:ilvl w:val="0"/>
          <w:numId w:val="3"/>
        </w:numPr>
        <w:jc w:val="both"/>
      </w:pPr>
      <w:hyperlink r:id="rId21" w:tooltip="REP 791 ASIC’s interventions on greenwashing misconduct: 2023–2024" w:history="1">
        <w:r w:rsidR="009079F7" w:rsidRPr="009079F7">
          <w:rPr>
            <w:rStyle w:val="Hipervnculo"/>
          </w:rPr>
          <w:t>Informe 791</w:t>
        </w:r>
        <w:r>
          <w:rPr>
            <w:rStyle w:val="Hipervnculo"/>
          </w:rPr>
          <w:t xml:space="preserve"> </w:t>
        </w:r>
        <w:r w:rsidR="009079F7" w:rsidRPr="009079F7">
          <w:rPr>
            <w:rStyle w:val="Hipervnculo"/>
            <w:i/>
            <w:iCs/>
          </w:rPr>
          <w:t>Intervenciones de la ASIC sobre la mala conducta en el greenwashing: 2023-2024</w:t>
        </w:r>
      </w:hyperlink>
      <w:r>
        <w:t xml:space="preserve"> </w:t>
      </w:r>
      <w:r w:rsidR="009079F7" w:rsidRPr="009079F7">
        <w:t>(agosto de 2024)</w:t>
      </w:r>
    </w:p>
    <w:p w14:paraId="1DB8CC7F" w14:textId="77777777" w:rsidR="009079F7" w:rsidRPr="009079F7" w:rsidRDefault="009079F7" w:rsidP="009079F7">
      <w:pPr>
        <w:jc w:val="both"/>
        <w:rPr>
          <w:b/>
          <w:bCs/>
        </w:rPr>
      </w:pPr>
      <w:r w:rsidRPr="009079F7">
        <w:rPr>
          <w:b/>
          <w:bCs/>
        </w:rPr>
        <w:t>Más información</w:t>
      </w:r>
    </w:p>
    <w:p w14:paraId="5589D5D0" w14:textId="3C46A7FE" w:rsidR="009079F7" w:rsidRPr="009079F7" w:rsidRDefault="0088512B" w:rsidP="009079F7">
      <w:pPr>
        <w:numPr>
          <w:ilvl w:val="0"/>
          <w:numId w:val="4"/>
        </w:numPr>
        <w:jc w:val="both"/>
      </w:pPr>
      <w:hyperlink r:id="rId22" w:tooltip="24-061MR ASIC wins first greenwashing civil penalty action against Vanguard" w:history="1">
        <w:r w:rsidR="009079F7" w:rsidRPr="009079F7">
          <w:rPr>
            <w:rStyle w:val="Hipervnculo"/>
          </w:rPr>
          <w:t>24-061MR</w:t>
        </w:r>
      </w:hyperlink>
      <w:r>
        <w:t xml:space="preserve"> </w:t>
      </w:r>
      <w:r w:rsidR="009079F7" w:rsidRPr="009079F7">
        <w:t>ASIC gana la primera acción de sanción civil por lavado verde contra Vanguard</w:t>
      </w:r>
    </w:p>
    <w:p w14:paraId="23DC76D0" w14:textId="37085611" w:rsidR="009079F7" w:rsidRPr="009079F7" w:rsidRDefault="0088512B" w:rsidP="009079F7">
      <w:pPr>
        <w:numPr>
          <w:ilvl w:val="0"/>
          <w:numId w:val="4"/>
        </w:numPr>
        <w:jc w:val="both"/>
      </w:pPr>
      <w:hyperlink r:id="rId23" w:tooltip="24-121MR Court finds Active Super made misleading ESG claims in a greenwashing action brought by ASIC" w:history="1">
        <w:r w:rsidR="009079F7" w:rsidRPr="009079F7">
          <w:rPr>
            <w:rStyle w:val="Hipervnculo"/>
          </w:rPr>
          <w:t>24-121MR</w:t>
        </w:r>
      </w:hyperlink>
      <w:r>
        <w:t xml:space="preserve"> </w:t>
      </w:r>
      <w:r w:rsidR="009079F7" w:rsidRPr="009079F7">
        <w:t>El Tribunal determina que Active Super hizo afirmaciones engañosas de ESG en una acción de lavado verde presentada por ASIC</w:t>
      </w:r>
    </w:p>
    <w:p w14:paraId="5BC6D2C4" w14:textId="09B62647" w:rsidR="009079F7" w:rsidRPr="009079F7" w:rsidRDefault="0088512B" w:rsidP="009079F7">
      <w:pPr>
        <w:numPr>
          <w:ilvl w:val="0"/>
          <w:numId w:val="4"/>
        </w:numPr>
        <w:jc w:val="both"/>
      </w:pPr>
      <w:hyperlink r:id="rId24" w:tooltip="24-173MR ASIC’s first greenwashing case results in landmark $11.3 million penalty for Mercer" w:history="1">
        <w:r w:rsidR="009079F7" w:rsidRPr="009079F7">
          <w:rPr>
            <w:rStyle w:val="Hipervnculo"/>
          </w:rPr>
          <w:t>24-173El</w:t>
        </w:r>
      </w:hyperlink>
      <w:r>
        <w:t xml:space="preserve"> P</w:t>
      </w:r>
      <w:r w:rsidR="009079F7" w:rsidRPr="009079F7">
        <w:t>rimer caso de lavado verde de la ASIC se traduce en una multa histórica de 11,3 millones de dólares para Mercer</w:t>
      </w:r>
    </w:p>
    <w:p w14:paraId="759094CC" w14:textId="77777777" w:rsidR="009079F7" w:rsidRPr="009079F7" w:rsidRDefault="009079F7" w:rsidP="009079F7">
      <w:pPr>
        <w:jc w:val="both"/>
      </w:pPr>
      <w:r w:rsidRPr="009079F7">
        <w:t>Los comunicados de prensa de la ASIC son declaraciones puntuales. Tenga en cuenta la fecha de publicación y utilice la función de búsqueda interna en el sitio para verificar otros comunicados de prensa sobre el mismo tema o asuntos relacionados.</w:t>
      </w:r>
    </w:p>
    <w:p w14:paraId="60381D9C" w14:textId="77777777" w:rsidR="009079F7" w:rsidRDefault="009079F7" w:rsidP="009079F7">
      <w:pPr>
        <w:jc w:val="both"/>
      </w:pPr>
    </w:p>
    <w:sectPr w:rsidR="009079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39C5"/>
    <w:multiLevelType w:val="multilevel"/>
    <w:tmpl w:val="E1F4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A5E5E"/>
    <w:multiLevelType w:val="multilevel"/>
    <w:tmpl w:val="3258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32BB7"/>
    <w:multiLevelType w:val="multilevel"/>
    <w:tmpl w:val="9FE0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F1556D"/>
    <w:multiLevelType w:val="multilevel"/>
    <w:tmpl w:val="F95A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F7"/>
    <w:rsid w:val="005B438E"/>
    <w:rsid w:val="0088512B"/>
    <w:rsid w:val="009079F7"/>
    <w:rsid w:val="00F42A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F40E8"/>
  <w15:chartTrackingRefBased/>
  <w15:docId w15:val="{B5CA0BB9-6830-4E30-BF19-2F1EF65C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079F7"/>
    <w:rPr>
      <w:color w:val="0563C1" w:themeColor="hyperlink"/>
      <w:u w:val="single"/>
    </w:rPr>
  </w:style>
  <w:style w:type="character" w:styleId="Mencinsinresolver">
    <w:name w:val="Unresolved Mention"/>
    <w:basedOn w:val="Fuentedeprrafopredeter"/>
    <w:uiPriority w:val="99"/>
    <w:semiHidden/>
    <w:unhideWhenUsed/>
    <w:rsid w:val="00907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64611">
      <w:bodyDiv w:val="1"/>
      <w:marLeft w:val="0"/>
      <w:marRight w:val="0"/>
      <w:marTop w:val="0"/>
      <w:marBottom w:val="0"/>
      <w:divBdr>
        <w:top w:val="none" w:sz="0" w:space="0" w:color="auto"/>
        <w:left w:val="none" w:sz="0" w:space="0" w:color="auto"/>
        <w:bottom w:val="none" w:sz="0" w:space="0" w:color="auto"/>
        <w:right w:val="none" w:sz="0" w:space="0" w:color="auto"/>
      </w:divBdr>
      <w:divsChild>
        <w:div w:id="1573467850">
          <w:marLeft w:val="0"/>
          <w:marRight w:val="0"/>
          <w:marTop w:val="0"/>
          <w:marBottom w:val="0"/>
          <w:divBdr>
            <w:top w:val="none" w:sz="0" w:space="0" w:color="auto"/>
            <w:left w:val="none" w:sz="0" w:space="0" w:color="auto"/>
            <w:bottom w:val="none" w:sz="0" w:space="0" w:color="auto"/>
            <w:right w:val="none" w:sz="0" w:space="0" w:color="auto"/>
          </w:divBdr>
        </w:div>
        <w:div w:id="1264990696">
          <w:marLeft w:val="0"/>
          <w:marRight w:val="0"/>
          <w:marTop w:val="0"/>
          <w:marBottom w:val="0"/>
          <w:divBdr>
            <w:top w:val="none" w:sz="0" w:space="0" w:color="auto"/>
            <w:left w:val="none" w:sz="0" w:space="0" w:color="auto"/>
            <w:bottom w:val="none" w:sz="0" w:space="0" w:color="auto"/>
            <w:right w:val="none" w:sz="0" w:space="0" w:color="auto"/>
          </w:divBdr>
          <w:divsChild>
            <w:div w:id="51734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38944">
      <w:bodyDiv w:val="1"/>
      <w:marLeft w:val="0"/>
      <w:marRight w:val="0"/>
      <w:marTop w:val="0"/>
      <w:marBottom w:val="0"/>
      <w:divBdr>
        <w:top w:val="none" w:sz="0" w:space="0" w:color="auto"/>
        <w:left w:val="none" w:sz="0" w:space="0" w:color="auto"/>
        <w:bottom w:val="none" w:sz="0" w:space="0" w:color="auto"/>
        <w:right w:val="none" w:sz="0" w:space="0" w:color="auto"/>
      </w:divBdr>
      <w:divsChild>
        <w:div w:id="177013798">
          <w:marLeft w:val="0"/>
          <w:marRight w:val="0"/>
          <w:marTop w:val="150"/>
          <w:marBottom w:val="0"/>
          <w:divBdr>
            <w:top w:val="none" w:sz="0" w:space="0" w:color="auto"/>
            <w:left w:val="none" w:sz="0" w:space="0" w:color="auto"/>
            <w:bottom w:val="none" w:sz="0" w:space="0" w:color="auto"/>
            <w:right w:val="none" w:sz="0" w:space="0" w:color="auto"/>
          </w:divBdr>
          <w:divsChild>
            <w:div w:id="397870364">
              <w:marLeft w:val="-1050"/>
              <w:marRight w:val="0"/>
              <w:marTop w:val="0"/>
              <w:marBottom w:val="0"/>
              <w:divBdr>
                <w:top w:val="none" w:sz="0" w:space="0" w:color="auto"/>
                <w:left w:val="none" w:sz="0" w:space="0" w:color="auto"/>
                <w:bottom w:val="none" w:sz="0" w:space="0" w:color="auto"/>
                <w:right w:val="none" w:sz="0" w:space="0" w:color="auto"/>
              </w:divBdr>
              <w:divsChild>
                <w:div w:id="654573603">
                  <w:marLeft w:val="0"/>
                  <w:marRight w:val="300"/>
                  <w:marTop w:val="0"/>
                  <w:marBottom w:val="0"/>
                  <w:divBdr>
                    <w:top w:val="none" w:sz="0" w:space="0" w:color="auto"/>
                    <w:left w:val="none" w:sz="0" w:space="0" w:color="auto"/>
                    <w:bottom w:val="none" w:sz="0" w:space="0" w:color="auto"/>
                    <w:right w:val="none" w:sz="0" w:space="0" w:color="auto"/>
                  </w:divBdr>
                </w:div>
                <w:div w:id="1788160984">
                  <w:marLeft w:val="1050"/>
                  <w:marRight w:val="0"/>
                  <w:marTop w:val="0"/>
                  <w:marBottom w:val="0"/>
                  <w:divBdr>
                    <w:top w:val="none" w:sz="0" w:space="0" w:color="auto"/>
                    <w:left w:val="none" w:sz="0" w:space="0" w:color="auto"/>
                    <w:bottom w:val="none" w:sz="0" w:space="0" w:color="auto"/>
                    <w:right w:val="none" w:sz="0" w:space="0" w:color="auto"/>
                  </w:divBdr>
                  <w:divsChild>
                    <w:div w:id="1518621531">
                      <w:marLeft w:val="0"/>
                      <w:marRight w:val="0"/>
                      <w:marTop w:val="75"/>
                      <w:marBottom w:val="0"/>
                      <w:divBdr>
                        <w:top w:val="none" w:sz="0" w:space="0" w:color="auto"/>
                        <w:left w:val="none" w:sz="0" w:space="0" w:color="auto"/>
                        <w:bottom w:val="none" w:sz="0" w:space="0" w:color="auto"/>
                        <w:right w:val="none" w:sz="0" w:space="0" w:color="auto"/>
                      </w:divBdr>
                      <w:divsChild>
                        <w:div w:id="1331055890">
                          <w:marLeft w:val="0"/>
                          <w:marRight w:val="0"/>
                          <w:marTop w:val="0"/>
                          <w:marBottom w:val="75"/>
                          <w:divBdr>
                            <w:top w:val="none" w:sz="0" w:space="0" w:color="auto"/>
                            <w:left w:val="none" w:sz="0" w:space="0" w:color="auto"/>
                            <w:bottom w:val="single" w:sz="6" w:space="4" w:color="DDDDDD"/>
                            <w:right w:val="none" w:sz="0" w:space="0" w:color="auto"/>
                          </w:divBdr>
                          <w:divsChild>
                            <w:div w:id="1022055906">
                              <w:marLeft w:val="0"/>
                              <w:marRight w:val="0"/>
                              <w:marTop w:val="0"/>
                              <w:marBottom w:val="0"/>
                              <w:divBdr>
                                <w:top w:val="none" w:sz="0" w:space="0" w:color="auto"/>
                                <w:left w:val="none" w:sz="0" w:space="0" w:color="auto"/>
                                <w:bottom w:val="none" w:sz="0" w:space="0" w:color="auto"/>
                                <w:right w:val="none" w:sz="0" w:space="0" w:color="auto"/>
                              </w:divBdr>
                            </w:div>
                          </w:divsChild>
                        </w:div>
                        <w:div w:id="151834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2205">
          <w:marLeft w:val="0"/>
          <w:marRight w:val="0"/>
          <w:marTop w:val="0"/>
          <w:marBottom w:val="0"/>
          <w:divBdr>
            <w:top w:val="none" w:sz="0" w:space="0" w:color="auto"/>
            <w:left w:val="none" w:sz="0" w:space="0" w:color="auto"/>
            <w:bottom w:val="none" w:sz="0" w:space="0" w:color="auto"/>
            <w:right w:val="none" w:sz="0" w:space="0" w:color="auto"/>
          </w:divBdr>
          <w:divsChild>
            <w:div w:id="459953607">
              <w:marLeft w:val="0"/>
              <w:marRight w:val="0"/>
              <w:marTop w:val="0"/>
              <w:marBottom w:val="0"/>
              <w:divBdr>
                <w:top w:val="none" w:sz="0" w:space="0" w:color="auto"/>
                <w:left w:val="none" w:sz="0" w:space="0" w:color="auto"/>
                <w:bottom w:val="none" w:sz="0" w:space="0" w:color="auto"/>
                <w:right w:val="none" w:sz="0" w:space="0" w:color="auto"/>
              </w:divBdr>
              <w:divsChild>
                <w:div w:id="2035184979">
                  <w:marLeft w:val="0"/>
                  <w:marRight w:val="0"/>
                  <w:marTop w:val="0"/>
                  <w:marBottom w:val="0"/>
                  <w:divBdr>
                    <w:top w:val="none" w:sz="0" w:space="0" w:color="auto"/>
                    <w:left w:val="none" w:sz="0" w:space="0" w:color="auto"/>
                    <w:bottom w:val="none" w:sz="0" w:space="0" w:color="auto"/>
                    <w:right w:val="none" w:sz="0" w:space="0" w:color="auto"/>
                  </w:divBdr>
                  <w:divsChild>
                    <w:div w:id="785738949">
                      <w:marLeft w:val="0"/>
                      <w:marRight w:val="0"/>
                      <w:marTop w:val="0"/>
                      <w:marBottom w:val="0"/>
                      <w:divBdr>
                        <w:top w:val="none" w:sz="0" w:space="0" w:color="auto"/>
                        <w:left w:val="none" w:sz="0" w:space="0" w:color="auto"/>
                        <w:bottom w:val="none" w:sz="0" w:space="0" w:color="auto"/>
                        <w:right w:val="none" w:sz="0" w:space="0" w:color="auto"/>
                      </w:divBdr>
                      <w:divsChild>
                        <w:div w:id="860433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asia.com/asic-fines-northern-trust-for-alleged-greenwashing/" TargetMode="External"/><Relationship Id="rId13" Type="http://schemas.openxmlformats.org/officeDocument/2006/relationships/hyperlink" Target="https://www.esginvestor.net/live/australian-senate-passes-climate-reporting-bill/" TargetMode="External"/><Relationship Id="rId18" Type="http://schemas.openxmlformats.org/officeDocument/2006/relationships/hyperlink" Target="https://asic.gov.au/regulatory-resources/financial-services/how-to-avoid-greenwashing-when-offering-or-promoting-sustainability-related-product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sic.gov.au/regulatory-resources/find-a-document/reports/rep-791-asic-s-interventions-on-greenwashing-misconduct-2023-2024/" TargetMode="External"/><Relationship Id="rId7" Type="http://schemas.openxmlformats.org/officeDocument/2006/relationships/hyperlink" Target="https://asic.gov.au/about-asic/news-centre/find-a-media-release/2024-releases/24-185mr-asic-continues-action-on-misleading-claims-to-deter-greenwashing-misconduct/?altTemplate=betanewsroom" TargetMode="External"/><Relationship Id="rId12" Type="http://schemas.openxmlformats.org/officeDocument/2006/relationships/hyperlink" Target="https://www.regulationasia.com/australian-court-orders-mercer-to-pay-a11-3mn-for-greenwashing/" TargetMode="External"/><Relationship Id="rId17" Type="http://schemas.openxmlformats.org/officeDocument/2006/relationships/hyperlink" Target="https://asic.gov.au/about-asic/news-centre/find-a-media-release/2024-releases/24-173mr-asic-s-first-greenwashing-case-results-in-landmark-11-3-million-penalty-for-merce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sic.gov.au/about-asic/news-centre/find-a-media-release/2024-releases/24-061mr-asic-wins-first-greenwashing-civil-penalty-action-against-vanguard/" TargetMode="External"/><Relationship Id="rId20" Type="http://schemas.openxmlformats.org/officeDocument/2006/relationships/hyperlink" Target="https://moneysmart.gov.au/how-to-invest/environmental-social-governance-esg-investing" TargetMode="External"/><Relationship Id="rId1" Type="http://schemas.openxmlformats.org/officeDocument/2006/relationships/numbering" Target="numbering.xml"/><Relationship Id="rId6" Type="http://schemas.openxmlformats.org/officeDocument/2006/relationships/hyperlink" Target="https://www.esginvestor.net/author/esg-investor/" TargetMode="External"/><Relationship Id="rId11" Type="http://schemas.openxmlformats.org/officeDocument/2006/relationships/hyperlink" Target="https://www.regulationasia.com/asic-wins-first-greenwashing-action-against-vanguard/" TargetMode="External"/><Relationship Id="rId24" Type="http://schemas.openxmlformats.org/officeDocument/2006/relationships/hyperlink" Target="https://asic.gov.au/about-asic/news-centre/find-a-media-release/2024-releases/24-173mr-asic-s-first-greenwashing-case-results-in-landmark-11-3-million-penalty-for-mercer/" TargetMode="External"/><Relationship Id="rId5" Type="http://schemas.openxmlformats.org/officeDocument/2006/relationships/image" Target="media/image1.jpeg"/><Relationship Id="rId15" Type="http://schemas.openxmlformats.org/officeDocument/2006/relationships/hyperlink" Target="https://asic.gov.au/about-asic/news-centre/find-a-media-release/2024-releases/24-121mr-court-finds-active-super-made-misleading-esg-claims-in-a-greenwashing-action-brought-by-asic/" TargetMode="External"/><Relationship Id="rId23" Type="http://schemas.openxmlformats.org/officeDocument/2006/relationships/hyperlink" Target="https://asic.gov.au/about-asic/news-centre/find-a-media-release/2024-releases/24-121mr-court-finds-active-super-made-misleading-esg-claims-in-a-greenwashing-action-brought-by-asic/" TargetMode="External"/><Relationship Id="rId10" Type="http://schemas.openxmlformats.org/officeDocument/2006/relationships/hyperlink" Target="https://www.regulationasia.com/super-active-engaged-in-greenwashing-australia-court-rules/" TargetMode="External"/><Relationship Id="rId19" Type="http://schemas.openxmlformats.org/officeDocument/2006/relationships/hyperlink" Target="https://asic.gov.au/regulatory-resources/find-a-document/reports/rep-763-asic-s-recent-greenwashing-interventions/" TargetMode="External"/><Relationship Id="rId4" Type="http://schemas.openxmlformats.org/officeDocument/2006/relationships/webSettings" Target="webSettings.xml"/><Relationship Id="rId9" Type="http://schemas.openxmlformats.org/officeDocument/2006/relationships/hyperlink" Target="https://www.regulationasia.com/asic-morningstar-pays-two-esg-related-infringement-notices/" TargetMode="External"/><Relationship Id="rId14" Type="http://schemas.openxmlformats.org/officeDocument/2006/relationships/hyperlink" Target="https://asic.gov.au/regulatory-resources/find-a-document/reports/rep-791-asic-s-interventions-on-greenwashing-misconduct-2023-2024/" TargetMode="External"/><Relationship Id="rId22" Type="http://schemas.openxmlformats.org/officeDocument/2006/relationships/hyperlink" Target="https://asic.gov.au/about-asic/news-centre/find-a-media-release/2024-releases/24-061mr-asic-wins-first-greenwashing-civil-penalty-action-against-vanguar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1838</Words>
  <Characters>10110</Characters>
  <Application>Microsoft Office Word</Application>
  <DocSecurity>0</DocSecurity>
  <Lines>84</Lines>
  <Paragraphs>23</Paragraphs>
  <ScaleCrop>false</ScaleCrop>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3</cp:revision>
  <dcterms:created xsi:type="dcterms:W3CDTF">2024-09-03T23:25:00Z</dcterms:created>
  <dcterms:modified xsi:type="dcterms:W3CDTF">2024-09-24T03:40:00Z</dcterms:modified>
</cp:coreProperties>
</file>