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38F0" w14:textId="64EFC209" w:rsidR="00BF4F75" w:rsidRPr="001C0B1A" w:rsidRDefault="00BF4F75" w:rsidP="00BF4F75">
      <w:pPr>
        <w:jc w:val="both"/>
        <w:rPr>
          <w:rFonts w:ascii="Arial Nova Cond" w:hAnsi="Arial Nova Cond"/>
          <w:sz w:val="28"/>
          <w:szCs w:val="28"/>
        </w:rPr>
      </w:pPr>
      <w:bookmarkStart w:id="0" w:name="_Hlk178367821"/>
      <w:r w:rsidRPr="001C0B1A">
        <w:rPr>
          <w:rFonts w:ascii="Arial Nova Cond" w:hAnsi="Arial Nova Cond"/>
          <w:sz w:val="28"/>
          <w:szCs w:val="28"/>
        </w:rPr>
        <w:t>Ya está disponible el borrador de la taxonomía VIP actualizada para 2024</w:t>
      </w:r>
    </w:p>
    <w:bookmarkEnd w:id="0"/>
    <w:p w14:paraId="4A5CB0A5" w14:textId="24C23548" w:rsidR="00BF4F75" w:rsidRPr="00BF4F75" w:rsidRDefault="00BF4F75" w:rsidP="00BF4F75">
      <w:pPr>
        <w:jc w:val="both"/>
      </w:pPr>
      <w:r w:rsidRPr="00BF4F75">
        <w:rPr>
          <w:noProof/>
        </w:rPr>
        <w:drawing>
          <wp:inline distT="0" distB="0" distL="0" distR="0" wp14:anchorId="5C1C6840" wp14:editId="27D8019A">
            <wp:extent cx="5612130" cy="3741420"/>
            <wp:effectExtent l="0" t="0" r="7620" b="0"/>
            <wp:docPr id="3" name="Imagen 3" descr="Taxonomía VIP actualiz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xonomía VIP actualiz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372A777E" w14:textId="1FB0CA6C" w:rsidR="001C0B1A" w:rsidRPr="00BF4F75" w:rsidRDefault="001C0B1A" w:rsidP="001C0B1A">
      <w:pPr>
        <w:jc w:val="both"/>
      </w:pPr>
      <w:r w:rsidRPr="00BF4F75">
        <w:t>Publicado el 20 de septiembre de 2024 por</w:t>
      </w:r>
      <w:r>
        <w:t xml:space="preserve"> </w:t>
      </w:r>
      <w:hyperlink r:id="rId6" w:history="1">
        <w:r w:rsidRPr="00BF4F75">
          <w:rPr>
            <w:rStyle w:val="Hipervnculo"/>
            <w:b/>
            <w:bCs/>
          </w:rPr>
          <w:t>Editor</w:t>
        </w:r>
      </w:hyperlink>
    </w:p>
    <w:p w14:paraId="60F17CBC" w14:textId="77777777" w:rsidR="00BF4F75" w:rsidRPr="00BF4F75" w:rsidRDefault="00BF4F75" w:rsidP="00BF4F75">
      <w:pPr>
        <w:jc w:val="both"/>
      </w:pPr>
      <w:r w:rsidRPr="00BF4F75">
        <w:t>La Comisión de Bolsa y Valores de Estados Unidos (SEC) ha publicado un borrador de la Taxonomía de Productos de Seguro Variable (VIP) actualizada para 2024. Esta actualización se produce tras la adopción por parte de la SEC de normas que modifican el Formulario N-4, que ahora es obligatorio para que los emisores de anualidades indexadas registradas (RILA) y anualidades de ajuste del valor de mercado registradas (MVA) registren sus ofertas.</w:t>
      </w:r>
    </w:p>
    <w:p w14:paraId="2B4B2D7C" w14:textId="77777777" w:rsidR="00BF4F75" w:rsidRPr="00BF4F75" w:rsidRDefault="00BF4F75" w:rsidP="00BF4F75">
      <w:pPr>
        <w:jc w:val="both"/>
      </w:pPr>
      <w:r w:rsidRPr="00BF4F75">
        <w:t>El borrador de taxonomía, esencial para etiquetar datos específicos en formato Inline XBRL, ahora está disponible para revisión pública.</w:t>
      </w:r>
    </w:p>
    <w:p w14:paraId="7E1CCB2E" w14:textId="77777777" w:rsidR="00BF4F75" w:rsidRPr="00BF4F75" w:rsidRDefault="00BF4F75" w:rsidP="00BF4F75">
      <w:pPr>
        <w:jc w:val="both"/>
      </w:pPr>
      <w:r w:rsidRPr="00BF4F75">
        <w:t>La nueva norma, adoptada como parte de la Ley de Asignaciones Consolidadas de 2023, extiende los requisitos de registro, presentación y divulgación a las anualidades variables de renta fija (RILA) y a las anualidades variables de renta fija (MVA), lo que garantiza que estos productos cumplan con los mismos estándares de presentación de informes que otras anualidades variables. Los emisores ahora deben presentar sus informes electrónicamente utilizando iXBRL dentro del sistema EDGAR de la SEC. Esto hace que las divulgaciones financieras de estos productos sean más transparentes y legibles por máquina, lo que ayuda a modernizar el proceso de presentación de datos.</w:t>
      </w:r>
    </w:p>
    <w:p w14:paraId="31AB9B73" w14:textId="77777777" w:rsidR="00BF4F75" w:rsidRPr="00BF4F75" w:rsidRDefault="00BF4F75" w:rsidP="00BF4F75">
      <w:pPr>
        <w:jc w:val="both"/>
      </w:pPr>
      <w:r w:rsidRPr="00BF4F75">
        <w:t>Estos cambios continúan los esfuerzos más amplios de la SEC para mejorar los informes financieros de los productos de seguros, en particular a través de la adopción de estándares de informes digitales. Al ampliar los requisitos del Formulario N-4, la SEC está mejorando tanto la calidad de los datos como la accesibilidad para los inversores y los reguladores por igual.</w:t>
      </w:r>
    </w:p>
    <w:p w14:paraId="1F774872" w14:textId="0DE71F47" w:rsidR="00BF4F75" w:rsidRPr="00BF4F75" w:rsidRDefault="00BF4F75" w:rsidP="00BF4F75">
      <w:pPr>
        <w:jc w:val="both"/>
      </w:pPr>
      <w:r w:rsidRPr="00BF4F75">
        <w:lastRenderedPageBreak/>
        <w:t>Para explorar el borrador de la taxonomía y obtener más información, visite la página de taxonomía oficial de la SEC</w:t>
      </w:r>
      <w:r w:rsidR="001C0B1A">
        <w:t xml:space="preserve"> </w:t>
      </w:r>
      <w:hyperlink r:id="rId7" w:tgtFrame="_blank" w:history="1">
        <w:r w:rsidRPr="00BF4F75">
          <w:rPr>
            <w:rStyle w:val="Hipervnculo"/>
          </w:rPr>
          <w:t>aquí</w:t>
        </w:r>
      </w:hyperlink>
      <w:r w:rsidRPr="00BF4F75">
        <w:t>.</w:t>
      </w:r>
    </w:p>
    <w:p w14:paraId="3E2303B2" w14:textId="6CA71545" w:rsidR="00BF4F75" w:rsidRPr="00BF4F75" w:rsidRDefault="0073573B" w:rsidP="00BF4F75">
      <w:pPr>
        <w:jc w:val="both"/>
      </w:pPr>
      <w:hyperlink r:id="rId8" w:history="1">
        <w:r w:rsidR="00BF4F75" w:rsidRPr="00BF4F75">
          <w:rPr>
            <w:rStyle w:val="Hipervnculo"/>
          </w:rPr>
          <w:t>Taxonomía SEC</w:t>
        </w:r>
        <w:r w:rsidR="001C0B1A">
          <w:rPr>
            <w:rStyle w:val="Hipervnculo"/>
          </w:rPr>
          <w:t xml:space="preserve"> </w:t>
        </w:r>
      </w:hyperlink>
      <w:hyperlink r:id="rId9" w:history="1">
        <w:r w:rsidR="00BF4F75" w:rsidRPr="00BF4F75">
          <w:rPr>
            <w:rStyle w:val="Hipervnculo"/>
          </w:rPr>
          <w:t>de RILA</w:t>
        </w:r>
        <w:r w:rsidR="001C0B1A">
          <w:rPr>
            <w:rStyle w:val="Hipervnculo"/>
          </w:rPr>
          <w:t xml:space="preserve"> </w:t>
        </w:r>
      </w:hyperlink>
      <w:hyperlink r:id="rId10" w:history="1">
        <w:r w:rsidR="001C0B1A" w:rsidRPr="00BF4F75">
          <w:rPr>
            <w:rStyle w:val="Hipervnculo"/>
          </w:rPr>
          <w:t>IXBRL</w:t>
        </w:r>
        <w:r w:rsidR="001C0B1A">
          <w:rPr>
            <w:rStyle w:val="Hipervnculo"/>
          </w:rPr>
          <w:t xml:space="preserve"> </w:t>
        </w:r>
      </w:hyperlink>
      <w:hyperlink r:id="rId11" w:history="1">
        <w:r w:rsidR="00BF4F75" w:rsidRPr="00BF4F75">
          <w:rPr>
            <w:rStyle w:val="Hipervnculo"/>
          </w:rPr>
          <w:t>Taxonomía VIP</w:t>
        </w:r>
        <w:r w:rsidR="001C0B1A">
          <w:rPr>
            <w:rStyle w:val="Hipervnculo"/>
          </w:rPr>
          <w:t xml:space="preserve"> </w:t>
        </w:r>
      </w:hyperlink>
      <w:hyperlink r:id="rId12" w:history="1">
        <w:r w:rsidR="00BF4F75" w:rsidRPr="00BF4F75">
          <w:rPr>
            <w:rStyle w:val="Hipervnculo"/>
          </w:rPr>
          <w:t>de EE. UU.</w:t>
        </w:r>
      </w:hyperlink>
    </w:p>
    <w:p w14:paraId="72FE72C5" w14:textId="2685DA7E" w:rsidR="00BF4F75" w:rsidRDefault="00BF4F75" w:rsidP="00BF4F75">
      <w:pPr>
        <w:jc w:val="both"/>
      </w:pPr>
    </w:p>
    <w:p w14:paraId="781BCF0A" w14:textId="5DE2A678" w:rsidR="00BF4F75" w:rsidRDefault="00BF4F75" w:rsidP="00BF4F75">
      <w:pPr>
        <w:jc w:val="both"/>
      </w:pPr>
    </w:p>
    <w:p w14:paraId="5B1942E7" w14:textId="732874AD" w:rsidR="00BF4F75" w:rsidRDefault="00BF4F75" w:rsidP="00BF4F75">
      <w:pPr>
        <w:jc w:val="both"/>
      </w:pPr>
    </w:p>
    <w:p w14:paraId="72110C1A" w14:textId="130A3A02" w:rsidR="00BF4F75" w:rsidRDefault="00BF4F75" w:rsidP="00BF4F75">
      <w:pPr>
        <w:jc w:val="both"/>
      </w:pPr>
    </w:p>
    <w:p w14:paraId="0A601C3F" w14:textId="2428553C" w:rsidR="00BF4F75" w:rsidRDefault="00BF4F75" w:rsidP="00BF4F75">
      <w:pPr>
        <w:jc w:val="both"/>
      </w:pPr>
    </w:p>
    <w:p w14:paraId="3A5AA90D" w14:textId="431431C9" w:rsidR="00BF4F75" w:rsidRDefault="00BF4F75" w:rsidP="00BF4F75">
      <w:pPr>
        <w:jc w:val="both"/>
      </w:pPr>
    </w:p>
    <w:p w14:paraId="78C6D298" w14:textId="76A7928C" w:rsidR="00BF4F75" w:rsidRDefault="00BF4F75" w:rsidP="00BF4F75">
      <w:pPr>
        <w:jc w:val="both"/>
      </w:pPr>
    </w:p>
    <w:p w14:paraId="15AE0810" w14:textId="50780363" w:rsidR="001C0B1A" w:rsidRDefault="001C0B1A" w:rsidP="00BF4F75">
      <w:pPr>
        <w:jc w:val="both"/>
      </w:pPr>
    </w:p>
    <w:p w14:paraId="2726C1EF" w14:textId="14EAC6EB" w:rsidR="001C0B1A" w:rsidRDefault="001C0B1A" w:rsidP="00BF4F75">
      <w:pPr>
        <w:jc w:val="both"/>
      </w:pPr>
    </w:p>
    <w:p w14:paraId="0DDDD7BA" w14:textId="12A9B072" w:rsidR="001C0B1A" w:rsidRDefault="001C0B1A" w:rsidP="00BF4F75">
      <w:pPr>
        <w:jc w:val="both"/>
      </w:pPr>
    </w:p>
    <w:p w14:paraId="12E2CFE5" w14:textId="224E4CCD" w:rsidR="001C0B1A" w:rsidRDefault="001C0B1A" w:rsidP="00BF4F75">
      <w:pPr>
        <w:jc w:val="both"/>
      </w:pPr>
    </w:p>
    <w:p w14:paraId="30E50853" w14:textId="5D7D264D" w:rsidR="001C0B1A" w:rsidRDefault="001C0B1A" w:rsidP="00BF4F75">
      <w:pPr>
        <w:jc w:val="both"/>
      </w:pPr>
    </w:p>
    <w:p w14:paraId="2533431F" w14:textId="3AA2CC5C" w:rsidR="001C0B1A" w:rsidRDefault="001C0B1A" w:rsidP="00BF4F75">
      <w:pPr>
        <w:jc w:val="both"/>
      </w:pPr>
    </w:p>
    <w:p w14:paraId="1286C5EF" w14:textId="57641380" w:rsidR="001C0B1A" w:rsidRDefault="001C0B1A" w:rsidP="00BF4F75">
      <w:pPr>
        <w:jc w:val="both"/>
      </w:pPr>
    </w:p>
    <w:p w14:paraId="354CFFC0" w14:textId="65FC31F4" w:rsidR="001C0B1A" w:rsidRDefault="001C0B1A" w:rsidP="00BF4F75">
      <w:pPr>
        <w:jc w:val="both"/>
      </w:pPr>
    </w:p>
    <w:p w14:paraId="1715493E" w14:textId="26A77CB5" w:rsidR="001C0B1A" w:rsidRDefault="001C0B1A" w:rsidP="00BF4F75">
      <w:pPr>
        <w:jc w:val="both"/>
      </w:pPr>
    </w:p>
    <w:p w14:paraId="0267F38A" w14:textId="68F6A90E" w:rsidR="001C0B1A" w:rsidRDefault="001C0B1A" w:rsidP="00BF4F75">
      <w:pPr>
        <w:jc w:val="both"/>
      </w:pPr>
    </w:p>
    <w:p w14:paraId="59C07992" w14:textId="4804ADB4" w:rsidR="001C0B1A" w:rsidRDefault="001C0B1A" w:rsidP="00BF4F75">
      <w:pPr>
        <w:jc w:val="both"/>
      </w:pPr>
    </w:p>
    <w:p w14:paraId="7688C028" w14:textId="7740C2B4" w:rsidR="001C0B1A" w:rsidRDefault="001C0B1A" w:rsidP="00BF4F75">
      <w:pPr>
        <w:jc w:val="both"/>
      </w:pPr>
    </w:p>
    <w:p w14:paraId="0A7A5D1E" w14:textId="135306C4" w:rsidR="001C0B1A" w:rsidRDefault="001C0B1A" w:rsidP="00BF4F75">
      <w:pPr>
        <w:jc w:val="both"/>
      </w:pPr>
    </w:p>
    <w:p w14:paraId="73374FE3" w14:textId="77777777" w:rsidR="001C0B1A" w:rsidRDefault="001C0B1A" w:rsidP="00BF4F75">
      <w:pPr>
        <w:jc w:val="both"/>
      </w:pPr>
    </w:p>
    <w:p w14:paraId="0FDFA406" w14:textId="71FEBB6C" w:rsidR="00BF4F75" w:rsidRDefault="00BF4F75" w:rsidP="00BF4F75">
      <w:pPr>
        <w:jc w:val="both"/>
      </w:pPr>
    </w:p>
    <w:p w14:paraId="5469063C" w14:textId="4909224B" w:rsidR="0073573B" w:rsidRDefault="0073573B" w:rsidP="00BF4F75">
      <w:pPr>
        <w:jc w:val="both"/>
      </w:pPr>
    </w:p>
    <w:p w14:paraId="7E757C05" w14:textId="77777777" w:rsidR="0073573B" w:rsidRDefault="0073573B" w:rsidP="00BF4F75">
      <w:pPr>
        <w:jc w:val="both"/>
      </w:pPr>
    </w:p>
    <w:p w14:paraId="64893FE8" w14:textId="180FD312" w:rsidR="00BF4F75" w:rsidRDefault="00BF4F75" w:rsidP="00BF4F75">
      <w:pPr>
        <w:jc w:val="both"/>
      </w:pPr>
    </w:p>
    <w:p w14:paraId="322129DD" w14:textId="603AC0E9" w:rsidR="00BF4F75" w:rsidRDefault="00BF4F75" w:rsidP="00BF4F75">
      <w:pPr>
        <w:jc w:val="both"/>
      </w:pPr>
      <w:r w:rsidRPr="00BF4F75">
        <w:rPr>
          <w:noProof/>
        </w:rPr>
        <w:drawing>
          <wp:inline distT="0" distB="0" distL="0" distR="0" wp14:anchorId="49078F20" wp14:editId="607CD254">
            <wp:extent cx="5612130" cy="8178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817880"/>
                    </a:xfrm>
                    <a:prstGeom prst="rect">
                      <a:avLst/>
                    </a:prstGeom>
                  </pic:spPr>
                </pic:pic>
              </a:graphicData>
            </a:graphic>
          </wp:inline>
        </w:drawing>
      </w:r>
    </w:p>
    <w:p w14:paraId="0251FD16" w14:textId="77777777" w:rsidR="00BF4F75" w:rsidRPr="00BF4F75" w:rsidRDefault="00BF4F75" w:rsidP="00BF4F75">
      <w:pPr>
        <w:jc w:val="both"/>
        <w:rPr>
          <w:b/>
          <w:bCs/>
        </w:rPr>
      </w:pPr>
      <w:r w:rsidRPr="00BF4F75">
        <w:rPr>
          <w:b/>
          <w:bCs/>
        </w:rPr>
        <w:lastRenderedPageBreak/>
        <w:t>Taxonomías</w:t>
      </w:r>
    </w:p>
    <w:p w14:paraId="1E66F44F" w14:textId="77777777" w:rsidR="00BF4F75" w:rsidRPr="00BF4F75" w:rsidRDefault="00BF4F75" w:rsidP="00BF4F75">
      <w:pPr>
        <w:jc w:val="both"/>
        <w:rPr>
          <w:b/>
          <w:bCs/>
        </w:rPr>
      </w:pPr>
      <w:r w:rsidRPr="00BF4F75">
        <w:rPr>
          <w:b/>
          <w:bCs/>
        </w:rPr>
        <w:t>Taxonomías XBRL actuales</w:t>
      </w:r>
    </w:p>
    <w:p w14:paraId="6EB740D5" w14:textId="77777777" w:rsidR="00BF4F75" w:rsidRPr="00BF4F75" w:rsidRDefault="0073573B" w:rsidP="00BF4F75">
      <w:pPr>
        <w:numPr>
          <w:ilvl w:val="0"/>
          <w:numId w:val="1"/>
        </w:numPr>
        <w:jc w:val="both"/>
      </w:pPr>
      <w:hyperlink r:id="rId14" w:anchor="USGAAP2019" w:history="1">
        <w:r w:rsidR="00BF4F75" w:rsidRPr="00BF4F75">
          <w:rPr>
            <w:rStyle w:val="Hipervnculo"/>
            <w:b/>
            <w:bCs/>
          </w:rPr>
          <w:t>PCGA de EE. UU.</w:t>
        </w:r>
      </w:hyperlink>
    </w:p>
    <w:p w14:paraId="073F1CD3" w14:textId="77777777" w:rsidR="00BF4F75" w:rsidRPr="00BF4F75" w:rsidRDefault="0073573B" w:rsidP="00BF4F75">
      <w:pPr>
        <w:numPr>
          <w:ilvl w:val="0"/>
          <w:numId w:val="1"/>
        </w:numPr>
        <w:jc w:val="both"/>
      </w:pPr>
      <w:hyperlink r:id="rId15" w:anchor="IFRS2018" w:history="1">
        <w:r w:rsidR="00BF4F75" w:rsidRPr="00BF4F75">
          <w:rPr>
            <w:rStyle w:val="Hipervnculo"/>
            <w:b/>
            <w:bCs/>
          </w:rPr>
          <w:t>NIIF</w:t>
        </w:r>
      </w:hyperlink>
    </w:p>
    <w:p w14:paraId="1B417E6E" w14:textId="77777777" w:rsidR="00BF4F75" w:rsidRPr="00BF4F75" w:rsidRDefault="0073573B" w:rsidP="00BF4F75">
      <w:pPr>
        <w:numPr>
          <w:ilvl w:val="0"/>
          <w:numId w:val="1"/>
        </w:numPr>
        <w:jc w:val="both"/>
      </w:pPr>
      <w:hyperlink r:id="rId16" w:anchor="RATINGS2015" w:history="1">
        <w:r w:rsidR="00BF4F75" w:rsidRPr="00BF4F75">
          <w:rPr>
            <w:rStyle w:val="Hipervnculo"/>
            <w:b/>
            <w:bCs/>
          </w:rPr>
          <w:t>Registro de calificaciones crediticias</w:t>
        </w:r>
      </w:hyperlink>
    </w:p>
    <w:p w14:paraId="3A9C0925" w14:textId="77777777" w:rsidR="00BF4F75" w:rsidRPr="00BF4F75" w:rsidRDefault="0073573B" w:rsidP="00BF4F75">
      <w:pPr>
        <w:numPr>
          <w:ilvl w:val="0"/>
          <w:numId w:val="1"/>
        </w:numPr>
        <w:jc w:val="both"/>
      </w:pPr>
      <w:hyperlink r:id="rId17" w:history="1">
        <w:r w:rsidR="00BF4F75" w:rsidRPr="00BF4F75">
          <w:rPr>
            <w:rStyle w:val="Hipervnculo"/>
            <w:b/>
            <w:bCs/>
          </w:rPr>
          <w:t>Todas las taxonomías estándar</w:t>
        </w:r>
      </w:hyperlink>
    </w:p>
    <w:p w14:paraId="0F17995A" w14:textId="77777777" w:rsidR="00BF4F75" w:rsidRPr="00BF4F75" w:rsidRDefault="00BF4F75" w:rsidP="00BF4F75">
      <w:pPr>
        <w:jc w:val="both"/>
        <w:rPr>
          <w:b/>
          <w:bCs/>
        </w:rPr>
      </w:pPr>
      <w:r w:rsidRPr="00BF4F75">
        <w:rPr>
          <w:b/>
          <w:bCs/>
        </w:rPr>
        <w:t>Especificaciones técnicas y esquema</w:t>
      </w:r>
    </w:p>
    <w:p w14:paraId="1762BB0F" w14:textId="77777777" w:rsidR="00BF4F75" w:rsidRPr="00BF4F75" w:rsidRDefault="00BF4F75" w:rsidP="00BF4F75">
      <w:pPr>
        <w:numPr>
          <w:ilvl w:val="0"/>
          <w:numId w:val="2"/>
        </w:numPr>
        <w:jc w:val="both"/>
      </w:pPr>
      <w:r w:rsidRPr="00BF4F75">
        <w:rPr>
          <w:b/>
          <w:bCs/>
        </w:rPr>
        <w:t>Instrucciones y especificaciones técnicas de la regla Volcker</w:t>
      </w:r>
    </w:p>
    <w:p w14:paraId="41AEEC1E" w14:textId="55B9E808" w:rsidR="00BF4F75" w:rsidRPr="00BF4F75" w:rsidRDefault="00BF4F75" w:rsidP="00BF4F75">
      <w:pPr>
        <w:jc w:val="both"/>
      </w:pPr>
      <w:r w:rsidRPr="00BF4F75">
        <w:t>En septiembre de 2019, la Comisión, junto con la Junta de Gobernadores del Sistema de la Reserva Federal ("Junta"), la Oficina del Contralor de la Moneda ("OCC"), la Corporación Federal de Seguro de Depósitos ("FDIC") y la Comisión de Comercio de Futuros de Productos Básicos ("CFTC"), adoptaron modificaciones a las regulaciones que implementan la sección 13 de la Ley de Sociedades de Cartera Bancarias (comúnmente conocida como la "Regla Volcker"). Consulte</w:t>
      </w:r>
      <w:r w:rsidR="001C0B1A">
        <w:t xml:space="preserve"> </w:t>
      </w:r>
      <w:hyperlink r:id="rId18" w:history="1">
        <w:r w:rsidRPr="00BF4F75">
          <w:rPr>
            <w:rStyle w:val="Hipervnculo"/>
          </w:rPr>
          <w:t>https://www.sec.gov/rules/final/2019/bhca-7.pdf</w:t>
        </w:r>
      </w:hyperlink>
      <w:r w:rsidRPr="00BF4F75">
        <w:t>.</w:t>
      </w:r>
    </w:p>
    <w:p w14:paraId="6EA5012E" w14:textId="77777777" w:rsidR="00BF4F75" w:rsidRPr="00BF4F75" w:rsidRDefault="00BF4F75" w:rsidP="00BF4F75">
      <w:pPr>
        <w:jc w:val="both"/>
      </w:pPr>
      <w:r w:rsidRPr="00BF4F75">
        <w:t>Las modificaciones incluyeron modificaciones al requisito de que ciertas entidades bancarias sujetas a la Regla Volcker preparen y proporcionen a la agencia correspondiente ciertas mediciones cualitativas ("métricas"). En relación con la publicación de la adopción, el personal de la SEC, junto con colegas de la Junta, la OCC, la FDIC y la CFTC, prepararon Instrucciones para la preparación de mediciones cuantitativas y una guía de especificaciones técnicas.</w:t>
      </w:r>
    </w:p>
    <w:p w14:paraId="4B2B2A16" w14:textId="77777777" w:rsidR="00BF4F75" w:rsidRPr="00BF4F75" w:rsidRDefault="0073573B" w:rsidP="00BF4F75">
      <w:pPr>
        <w:numPr>
          <w:ilvl w:val="0"/>
          <w:numId w:val="3"/>
        </w:numPr>
        <w:jc w:val="both"/>
      </w:pPr>
      <w:hyperlink r:id="rId19" w:history="1">
        <w:r w:rsidR="00BF4F75" w:rsidRPr="00BF4F75">
          <w:rPr>
            <w:rStyle w:val="Hipervnculo"/>
          </w:rPr>
          <w:t>Instrucciones de métricas (pdf)</w:t>
        </w:r>
      </w:hyperlink>
    </w:p>
    <w:p w14:paraId="51FA68E1" w14:textId="77777777" w:rsidR="00BF4F75" w:rsidRPr="00BF4F75" w:rsidRDefault="0073573B" w:rsidP="00BF4F75">
      <w:pPr>
        <w:numPr>
          <w:ilvl w:val="0"/>
          <w:numId w:val="3"/>
        </w:numPr>
        <w:jc w:val="both"/>
      </w:pPr>
      <w:hyperlink r:id="rId20" w:history="1">
        <w:r w:rsidR="00BF4F75" w:rsidRPr="00BF4F75">
          <w:rPr>
            <w:rStyle w:val="Hipervnculo"/>
          </w:rPr>
          <w:t>Especificaciones técnicas (pdf)</w:t>
        </w:r>
      </w:hyperlink>
    </w:p>
    <w:p w14:paraId="0E96663E" w14:textId="5807508C" w:rsidR="00BF4F75" w:rsidRPr="00BF4F75" w:rsidRDefault="00BF4F75" w:rsidP="00BF4F75">
      <w:pPr>
        <w:jc w:val="both"/>
      </w:pPr>
    </w:p>
    <w:p w14:paraId="3ADD1E95" w14:textId="77777777" w:rsidR="00BF4F75" w:rsidRPr="00BF4F75" w:rsidRDefault="00BF4F75" w:rsidP="00BF4F75">
      <w:pPr>
        <w:numPr>
          <w:ilvl w:val="0"/>
          <w:numId w:val="4"/>
        </w:numPr>
        <w:jc w:val="both"/>
      </w:pPr>
      <w:r w:rsidRPr="00BF4F75">
        <w:rPr>
          <w:b/>
          <w:bCs/>
        </w:rPr>
        <w:t>Esquema de datos de gestión de órdenes 2020 y generador de informes para corredores de bolsa</w:t>
      </w:r>
    </w:p>
    <w:p w14:paraId="4FEB0D99" w14:textId="4860B643" w:rsidR="00BF4F75" w:rsidRPr="00BF4F75" w:rsidRDefault="00BF4F75" w:rsidP="00BF4F75">
      <w:pPr>
        <w:jc w:val="both"/>
      </w:pPr>
      <w:r w:rsidRPr="00BF4F75">
        <w:t>La Comisión adoptó requisitos para que los corredores-distribuidores utilicen un esquema de la Comisión y un procesador de PDF asociado para proporcionar a los clientes datos sobre el enrutamiento y el manejo de órdenes, y proporcionar al público datos agregados sobre el enrutamiento y el manejo de órdenes. Consulte</w:t>
      </w:r>
      <w:r w:rsidR="001C0B1A">
        <w:t xml:space="preserve"> </w:t>
      </w:r>
      <w:hyperlink r:id="rId21" w:history="1">
        <w:r w:rsidRPr="00BF4F75">
          <w:rPr>
            <w:rStyle w:val="Hipervnculo"/>
          </w:rPr>
          <w:t>https://www.sec.gov/rules/final/2018/34-84528.pdf</w:t>
        </w:r>
      </w:hyperlink>
      <w:r w:rsidRPr="00BF4F75">
        <w:t>. El esquema de datos de enrutamiento y manejo de órdenes y el procesador de informes para corredores-distribuidores y la especificación técnica preliminar correspondiente están disponibles a continuación.</w:t>
      </w:r>
    </w:p>
    <w:p w14:paraId="07758DC3" w14:textId="1B72E3B3" w:rsidR="00BF4F75" w:rsidRPr="00BF4F75" w:rsidRDefault="0073573B" w:rsidP="00BF4F75">
      <w:pPr>
        <w:numPr>
          <w:ilvl w:val="0"/>
          <w:numId w:val="5"/>
        </w:numPr>
        <w:jc w:val="both"/>
      </w:pPr>
      <w:hyperlink r:id="rId22" w:history="1">
        <w:r w:rsidR="00BF4F75" w:rsidRPr="00BF4F75">
          <w:rPr>
            <w:rStyle w:val="Hipervnculo"/>
          </w:rPr>
          <w:t>Especificación técnica (pdf)</w:t>
        </w:r>
      </w:hyperlink>
      <w:r w:rsidR="001C0B1A">
        <w:t xml:space="preserve"> </w:t>
      </w:r>
      <w:r w:rsidR="00BF4F75" w:rsidRPr="00BF4F75">
        <w:t>(actualizada el 21/05/2024)</w:t>
      </w:r>
    </w:p>
    <w:p w14:paraId="43CC29E3" w14:textId="143BF7BE" w:rsidR="00BF4F75" w:rsidRPr="00BF4F75" w:rsidRDefault="0073573B" w:rsidP="00BF4F75">
      <w:pPr>
        <w:numPr>
          <w:ilvl w:val="0"/>
          <w:numId w:val="5"/>
        </w:numPr>
        <w:jc w:val="both"/>
      </w:pPr>
      <w:hyperlink r:id="rId23" w:history="1">
        <w:r w:rsidR="00BF4F75" w:rsidRPr="00BF4F75">
          <w:rPr>
            <w:rStyle w:val="Hipervnculo"/>
          </w:rPr>
          <w:t>Esquema, generador de informes y ejemplos de informes (zip)</w:t>
        </w:r>
      </w:hyperlink>
      <w:r w:rsidR="001C0B1A">
        <w:t xml:space="preserve"> </w:t>
      </w:r>
      <w:r w:rsidR="00BF4F75" w:rsidRPr="00BF4F75">
        <w:t>(actualizado el 20/5/2024)</w:t>
      </w:r>
    </w:p>
    <w:p w14:paraId="0A6FBE36" w14:textId="08549C6F" w:rsidR="00BF4F75" w:rsidRPr="00BF4F75" w:rsidRDefault="0073573B" w:rsidP="00BF4F75">
      <w:pPr>
        <w:numPr>
          <w:ilvl w:val="0"/>
          <w:numId w:val="5"/>
        </w:numPr>
        <w:jc w:val="both"/>
      </w:pPr>
      <w:hyperlink r:id="rId24" w:history="1">
        <w:r w:rsidR="00BF4F75" w:rsidRPr="00BF4F75">
          <w:rPr>
            <w:rStyle w:val="Hipervnculo"/>
          </w:rPr>
          <w:t>Fuente del renderizador y paquetes de los que depende</w:t>
        </w:r>
      </w:hyperlink>
      <w:r w:rsidR="001C0B1A">
        <w:rPr>
          <w:rStyle w:val="Hipervnculo"/>
        </w:rPr>
        <w:t xml:space="preserve"> </w:t>
      </w:r>
      <w:r w:rsidR="00BF4F75" w:rsidRPr="00BF4F75">
        <w:t>(actualizado el 20/5/2024)</w:t>
      </w:r>
    </w:p>
    <w:p w14:paraId="7BE0E1CC" w14:textId="2BA9FC4D" w:rsidR="00BF4F75" w:rsidRPr="00BF4F75" w:rsidRDefault="00BF4F75" w:rsidP="00BF4F75">
      <w:pPr>
        <w:jc w:val="both"/>
      </w:pPr>
    </w:p>
    <w:p w14:paraId="7D435A8C" w14:textId="77777777" w:rsidR="00BF4F75" w:rsidRPr="00BF4F75" w:rsidRDefault="00BF4F75" w:rsidP="00BF4F75">
      <w:pPr>
        <w:numPr>
          <w:ilvl w:val="0"/>
          <w:numId w:val="6"/>
        </w:numPr>
        <w:jc w:val="both"/>
      </w:pPr>
      <w:r w:rsidRPr="00BF4F75">
        <w:rPr>
          <w:b/>
          <w:bCs/>
        </w:rPr>
        <w:lastRenderedPageBreak/>
        <w:t>Esquema resumido de tarifas de transacciones de bolsa de 2019 para acciones de NMS</w:t>
      </w:r>
    </w:p>
    <w:p w14:paraId="1BF5AE6A" w14:textId="19133782" w:rsidR="00BF4F75" w:rsidRPr="00BF4F75" w:rsidRDefault="00BF4F75" w:rsidP="00BF4F75">
      <w:pPr>
        <w:jc w:val="both"/>
      </w:pPr>
      <w:r w:rsidRPr="00BF4F75">
        <w:t>La Comisión adoptó un programa piloto de tarifas de transacción para acciones de NMS que requiere que ciertas bolsas utilicen un esquema de la Comisión para publicar información sobre sus tarifas y cambios en las tarifas. Consulte</w:t>
      </w:r>
      <w:r w:rsidR="001C0B1A">
        <w:t xml:space="preserve"> </w:t>
      </w:r>
      <w:hyperlink r:id="rId25" w:history="1">
        <w:r w:rsidR="001C0B1A" w:rsidRPr="009027C5">
          <w:rPr>
            <w:rStyle w:val="Hipervnculo"/>
          </w:rPr>
          <w:t>https://www.sec.gov/rules/final/2018/34-84875.pdf.</w:t>
        </w:r>
      </w:hyperlink>
    </w:p>
    <w:p w14:paraId="3B30CE3B" w14:textId="77777777" w:rsidR="00BF4F75" w:rsidRPr="00BF4F75" w:rsidRDefault="00BF4F75" w:rsidP="00BF4F75">
      <w:pPr>
        <w:jc w:val="both"/>
      </w:pPr>
      <w:r w:rsidRPr="00BF4F75">
        <w:t>El esquema resumido de tarifas de transacciones de intercambio de 2019 para acciones de NMS y la especificación técnica correspondiente están disponibles a continuación.</w:t>
      </w:r>
    </w:p>
    <w:p w14:paraId="5A649056" w14:textId="77777777" w:rsidR="00BF4F75" w:rsidRPr="00BF4F75" w:rsidRDefault="0073573B" w:rsidP="00BF4F75">
      <w:pPr>
        <w:numPr>
          <w:ilvl w:val="0"/>
          <w:numId w:val="7"/>
        </w:numPr>
        <w:jc w:val="both"/>
      </w:pPr>
      <w:hyperlink r:id="rId26" w:history="1">
        <w:r w:rsidR="00BF4F75" w:rsidRPr="00BF4F75">
          <w:rPr>
            <w:rStyle w:val="Hipervnculo"/>
          </w:rPr>
          <w:t>Especificación técnica (pdf)</w:t>
        </w:r>
      </w:hyperlink>
    </w:p>
    <w:p w14:paraId="5F022A74" w14:textId="77777777" w:rsidR="00BF4F75" w:rsidRPr="00BF4F75" w:rsidRDefault="0073573B" w:rsidP="00BF4F75">
      <w:pPr>
        <w:numPr>
          <w:ilvl w:val="0"/>
          <w:numId w:val="7"/>
        </w:numPr>
        <w:jc w:val="both"/>
      </w:pPr>
      <w:hyperlink r:id="rId27" w:history="1">
        <w:r w:rsidR="00BF4F75" w:rsidRPr="00BF4F75">
          <w:rPr>
            <w:rStyle w:val="Hipervnculo"/>
          </w:rPr>
          <w:t>Esquema e informes de muestra (zip)</w:t>
        </w:r>
      </w:hyperlink>
    </w:p>
    <w:p w14:paraId="71237D9A" w14:textId="77777777" w:rsidR="00BF4F75" w:rsidRPr="00BF4F75" w:rsidRDefault="00BF4F75" w:rsidP="00BF4F75">
      <w:pPr>
        <w:jc w:val="both"/>
        <w:rPr>
          <w:b/>
          <w:bCs/>
        </w:rPr>
      </w:pPr>
      <w:r w:rsidRPr="00BF4F75">
        <w:rPr>
          <w:b/>
          <w:bCs/>
        </w:rPr>
        <w:t>Borradores de taxonomías</w:t>
      </w:r>
    </w:p>
    <w:p w14:paraId="79967880" w14:textId="77777777" w:rsidR="00BF4F75" w:rsidRPr="00BF4F75" w:rsidRDefault="0073573B" w:rsidP="00BF4F75">
      <w:pPr>
        <w:numPr>
          <w:ilvl w:val="0"/>
          <w:numId w:val="8"/>
        </w:numPr>
        <w:jc w:val="both"/>
      </w:pPr>
      <w:hyperlink r:id="rId28" w:history="1">
        <w:r w:rsidR="00BF4F75" w:rsidRPr="00BF4F75">
          <w:rPr>
            <w:rStyle w:val="Hipervnculo"/>
            <w:b/>
            <w:bCs/>
          </w:rPr>
          <w:t>Archivos de borradores de taxonomía estándar</w:t>
        </w:r>
      </w:hyperlink>
    </w:p>
    <w:p w14:paraId="1C99B492" w14:textId="3340EFF6" w:rsidR="00BF4F75" w:rsidRPr="00BF4F75" w:rsidRDefault="00BF4F75" w:rsidP="00BF4F75">
      <w:pPr>
        <w:jc w:val="both"/>
      </w:pPr>
    </w:p>
    <w:p w14:paraId="4FB1186F" w14:textId="77777777" w:rsidR="00BF4F75" w:rsidRPr="00BF4F75" w:rsidRDefault="00BF4F75" w:rsidP="00BF4F75">
      <w:pPr>
        <w:numPr>
          <w:ilvl w:val="0"/>
          <w:numId w:val="9"/>
        </w:numPr>
        <w:jc w:val="both"/>
      </w:pPr>
      <w:r w:rsidRPr="00BF4F75">
        <w:rPr>
          <w:b/>
          <w:bCs/>
        </w:rPr>
        <w:t>Borrador de los archivos actualizados de la taxonomía de productos de seguros variables (VIP)</w:t>
      </w:r>
    </w:p>
    <w:p w14:paraId="58033A88" w14:textId="00D50B13" w:rsidR="00BF4F75" w:rsidRPr="00BF4F75" w:rsidRDefault="00BF4F75" w:rsidP="00BF4F75">
      <w:pPr>
        <w:jc w:val="both"/>
      </w:pPr>
      <w:r w:rsidRPr="00BF4F75">
        <w:t>La Comisión adoptó normas que modifican el formulario que actualmente utilizan la mayoría de las cuentas separadas de anualidades variables, el Formulario N-4, para exigir a los emisores de anualidades indexadas registradas (RILA, por sus siglas en inglés) que registren las ofertas también en ese formulario. La Comisión también extendió los requisitos de registro, presentación y divulgación que adoptó para las ofertas de RILA a las ofertas de anualidades de ajuste del valor de mercado registradas (“anualidades MVA registradas”). Consulte</w:t>
      </w:r>
      <w:r w:rsidR="001C0B1A">
        <w:t xml:space="preserve"> </w:t>
      </w:r>
      <w:hyperlink r:id="rId29" w:history="1">
        <w:r w:rsidRPr="00BF4F75">
          <w:rPr>
            <w:rStyle w:val="Hipervnculo"/>
          </w:rPr>
          <w:t>https://www.sec.gov/files/rules/final/2024/33-11294.pdf</w:t>
        </w:r>
      </w:hyperlink>
      <w:r w:rsidRPr="00BF4F75">
        <w:t>.</w:t>
      </w:r>
    </w:p>
    <w:p w14:paraId="0EE955F1" w14:textId="77777777" w:rsidR="00BF4F75" w:rsidRPr="00BF4F75" w:rsidRDefault="00BF4F75" w:rsidP="00BF4F75">
      <w:pPr>
        <w:jc w:val="both"/>
      </w:pPr>
      <w:r w:rsidRPr="00BF4F75">
        <w:t>Como parte de la norma adoptada, los emisores de RILA y anualidades registradas de MVA deben etiquetar cierta información en el Formulario N-4 en formato Inline XBRL para presentarla electrónicamente ante la Comisión utilizando el sistema de Recopilación, Análisis y Recuperación de Datos Electrónicos (EDGAR) en Inline XBRL. Los nuevos elementos necesarios para etiquetar esta información se incorporan en la taxonomía VIP porque las RILA y las anualidades registradas de MVA son productos de seguros cuyas ofertas se registran en el Formulario N-4.</w:t>
      </w:r>
    </w:p>
    <w:p w14:paraId="2892AC8F" w14:textId="02B2692F" w:rsidR="00BF4F75" w:rsidRPr="00BF4F75" w:rsidRDefault="00BF4F75" w:rsidP="00BF4F75">
      <w:pPr>
        <w:jc w:val="both"/>
      </w:pPr>
      <w:r w:rsidRPr="00BF4F75">
        <w:t>El borrador de la versión actualizada de los archivos de taxonomía VIP se puede encontrar a continuación. Envíe sus comentarios técnicos a</w:t>
      </w:r>
      <w:r w:rsidR="001C0B1A">
        <w:t xml:space="preserve"> </w:t>
      </w:r>
      <w:hyperlink r:id="rId30" w:history="1">
        <w:r w:rsidR="001C0B1A" w:rsidRPr="009027C5">
          <w:rPr>
            <w:rStyle w:val="Hipervnculo"/>
          </w:rPr>
          <w:t>StructuredData@sec.gov</w:t>
        </w:r>
      </w:hyperlink>
      <w:r w:rsidR="001C0B1A">
        <w:t xml:space="preserve"> </w:t>
      </w:r>
      <w:r w:rsidRPr="00BF4F75">
        <w:t>antes de las 4:00 p. m. (hora del este de EE. UU.) del 12 de noviembre de 2024. Incluya “Taxonomía VIP actualizada de 2024” en el encabezado del asunto.</w:t>
      </w:r>
    </w:p>
    <w:p w14:paraId="1DF2B1A8" w14:textId="77777777" w:rsidR="00BF4F75" w:rsidRPr="00BF4F75" w:rsidRDefault="0073573B" w:rsidP="00BF4F75">
      <w:pPr>
        <w:numPr>
          <w:ilvl w:val="0"/>
          <w:numId w:val="10"/>
        </w:numPr>
        <w:jc w:val="both"/>
      </w:pPr>
      <w:hyperlink r:id="rId31" w:history="1">
        <w:r w:rsidR="00BF4F75" w:rsidRPr="00BF4F75">
          <w:rPr>
            <w:rStyle w:val="Hipervnculo"/>
          </w:rPr>
          <w:t>Borrador de archivos actualizados de la taxonomía VIP</w:t>
        </w:r>
      </w:hyperlink>
    </w:p>
    <w:p w14:paraId="02964D5B" w14:textId="77777777" w:rsidR="00BF4F75" w:rsidRPr="00BF4F75" w:rsidRDefault="0073573B" w:rsidP="00BF4F75">
      <w:pPr>
        <w:numPr>
          <w:ilvl w:val="0"/>
          <w:numId w:val="10"/>
        </w:numPr>
        <w:jc w:val="both"/>
      </w:pPr>
      <w:hyperlink r:id="rId32" w:history="1">
        <w:r w:rsidR="00BF4F75" w:rsidRPr="00BF4F75">
          <w:rPr>
            <w:rStyle w:val="Hipervnculo"/>
          </w:rPr>
          <w:t>Borrador de la guía actualizada de taxonomía VIP</w:t>
        </w:r>
      </w:hyperlink>
    </w:p>
    <w:p w14:paraId="5B224EEF" w14:textId="08167641" w:rsidR="00BF4F75" w:rsidRPr="00BF4F75" w:rsidRDefault="00BF4F75" w:rsidP="00BF4F75">
      <w:pPr>
        <w:jc w:val="both"/>
      </w:pPr>
    </w:p>
    <w:p w14:paraId="4E3B0D7A" w14:textId="77777777" w:rsidR="00BF4F75" w:rsidRPr="00BF4F75" w:rsidRDefault="00BF4F75" w:rsidP="00BF4F75">
      <w:pPr>
        <w:numPr>
          <w:ilvl w:val="0"/>
          <w:numId w:val="11"/>
        </w:numPr>
        <w:jc w:val="both"/>
      </w:pPr>
      <w:r w:rsidRPr="00BF4F75">
        <w:rPr>
          <w:b/>
          <w:bCs/>
        </w:rPr>
        <w:t>Esquema y generador de informes del borrador del informe de datos diarios del mercado (DMDR) de 2024</w:t>
      </w:r>
    </w:p>
    <w:p w14:paraId="4A80EC51" w14:textId="7BA7ABA5" w:rsidR="00BF4F75" w:rsidRPr="00BF4F75" w:rsidRDefault="00BF4F75" w:rsidP="00BF4F75">
      <w:pPr>
        <w:jc w:val="both"/>
      </w:pPr>
      <w:r w:rsidRPr="00BF4F75">
        <w:lastRenderedPageBreak/>
        <w:t>La Comisión adoptó el nuevo Reglamento SE en virtud de la Ley de Intercambio de Valores de 1934, que crea un régimen para el registro y la regulación de las instalaciones de ejecución de swaps basados en valores (SBSEF, por sus siglas en inglés) y aborda otras cuestiones relacionadas con la ejecución de swaps basados en valores en general. Consulte</w:t>
      </w:r>
      <w:r w:rsidR="001C0B1A">
        <w:t xml:space="preserve"> </w:t>
      </w:r>
      <w:hyperlink r:id="rId33" w:history="1">
        <w:r w:rsidRPr="00BF4F75">
          <w:rPr>
            <w:rStyle w:val="Hipervnculo"/>
          </w:rPr>
          <w:t>https://www.sec.gov/files/rules/final/2023/34-98845.pdf</w:t>
        </w:r>
      </w:hyperlink>
      <w:r w:rsidRPr="00BF4F75">
        <w:t>.</w:t>
      </w:r>
    </w:p>
    <w:p w14:paraId="4EF6C7F3" w14:textId="77777777" w:rsidR="00BF4F75" w:rsidRPr="00BF4F75" w:rsidRDefault="00BF4F75" w:rsidP="00BF4F75">
      <w:pPr>
        <w:jc w:val="both"/>
      </w:pPr>
      <w:r w:rsidRPr="00BF4F75">
        <w:t>La norma requiere que los SBSEF registrados publiquen informes diarios de datos de mercado en sus sitios web utilizando un esquema XML personalizado y un renderizador de PDF, que la Comisión pondrá a disposición en su sitio web.</w:t>
      </w:r>
    </w:p>
    <w:p w14:paraId="6C619E06" w14:textId="1064B6CA" w:rsidR="00BF4F75" w:rsidRPr="00BF4F75" w:rsidRDefault="00BF4F75" w:rsidP="00BF4F75">
      <w:pPr>
        <w:jc w:val="both"/>
      </w:pPr>
      <w:r w:rsidRPr="00BF4F75">
        <w:t>El borrador del esquema y los archivos del generador de informes se pueden encontrar a continuación. Envíe sus comentarios a</w:t>
      </w:r>
      <w:r w:rsidR="001C0B1A">
        <w:t xml:space="preserve"> </w:t>
      </w:r>
      <w:hyperlink r:id="rId34" w:history="1">
        <w:r w:rsidRPr="00BF4F75">
          <w:rPr>
            <w:rStyle w:val="Hipervnculo"/>
          </w:rPr>
          <w:t>StructuredData@sec.gov</w:t>
        </w:r>
      </w:hyperlink>
      <w:r w:rsidR="001C0B1A">
        <w:t xml:space="preserve"> </w:t>
      </w:r>
      <w:r w:rsidRPr="00BF4F75">
        <w:t>antes del 1 de mayo de 2024. Incluya “Borrador del esquema y generador de informes del Informe de datos diarios del mercado (DMDR) de 2024” en el encabezado del asunto.</w:t>
      </w:r>
    </w:p>
    <w:p w14:paraId="77F849D5" w14:textId="7643D242" w:rsidR="00BF4F75" w:rsidRPr="00BF4F75" w:rsidRDefault="00BF4F75" w:rsidP="00BF4F75">
      <w:pPr>
        <w:numPr>
          <w:ilvl w:val="0"/>
          <w:numId w:val="12"/>
        </w:numPr>
        <w:jc w:val="both"/>
      </w:pPr>
      <w:r w:rsidRPr="00BF4F75">
        <w:t>Especificación técnica (</w:t>
      </w:r>
      <w:hyperlink r:id="rId35" w:history="1">
        <w:r w:rsidRPr="00BF4F75">
          <w:rPr>
            <w:rStyle w:val="Hipervnculo"/>
          </w:rPr>
          <w:t>pdf</w:t>
        </w:r>
      </w:hyperlink>
      <w:r w:rsidRPr="00BF4F75">
        <w:t>) (actualizada el 01/04/2024)</w:t>
      </w:r>
    </w:p>
    <w:p w14:paraId="0B3561C0" w14:textId="681D9F80" w:rsidR="00BF4F75" w:rsidRPr="00BF4F75" w:rsidRDefault="00BF4F75" w:rsidP="00BF4F75">
      <w:pPr>
        <w:numPr>
          <w:ilvl w:val="0"/>
          <w:numId w:val="12"/>
        </w:numPr>
        <w:jc w:val="both"/>
      </w:pPr>
      <w:r w:rsidRPr="00BF4F75">
        <w:t>Esquema, renderizador e informe de muestra (</w:t>
      </w:r>
      <w:hyperlink r:id="rId36" w:history="1">
        <w:r w:rsidRPr="00BF4F75">
          <w:rPr>
            <w:rStyle w:val="Hipervnculo"/>
          </w:rPr>
          <w:t>zip</w:t>
        </w:r>
      </w:hyperlink>
      <w:r w:rsidRPr="00BF4F75">
        <w:t>) (actualizado el 1 de abril de 2024)</w:t>
      </w:r>
    </w:p>
    <w:p w14:paraId="19F3AF7C" w14:textId="616640EC" w:rsidR="00BF4F75" w:rsidRPr="00BF4F75" w:rsidRDefault="0073573B" w:rsidP="00BF4F75">
      <w:pPr>
        <w:numPr>
          <w:ilvl w:val="0"/>
          <w:numId w:val="12"/>
        </w:numPr>
        <w:jc w:val="both"/>
      </w:pPr>
      <w:hyperlink r:id="rId37" w:history="1">
        <w:r w:rsidR="00BF4F75" w:rsidRPr="00BF4F75">
          <w:rPr>
            <w:rStyle w:val="Hipervnculo"/>
          </w:rPr>
          <w:t>Repositorio</w:t>
        </w:r>
      </w:hyperlink>
      <w:r w:rsidR="001C0B1A">
        <w:t xml:space="preserve"> </w:t>
      </w:r>
      <w:r w:rsidR="00BF4F75" w:rsidRPr="00BF4F75">
        <w:t>de origen (actualizado el 1 de abril de 2024)</w:t>
      </w:r>
    </w:p>
    <w:p w14:paraId="349FEC62" w14:textId="60C33E61" w:rsidR="00BF4F75" w:rsidRPr="00BF4F75" w:rsidRDefault="00BF4F75" w:rsidP="00BF4F75">
      <w:pPr>
        <w:jc w:val="both"/>
      </w:pPr>
    </w:p>
    <w:p w14:paraId="763C3840" w14:textId="6520B25A" w:rsidR="00BF4F75" w:rsidRPr="00BF4F75" w:rsidRDefault="00BF4F75" w:rsidP="00BF4F75">
      <w:pPr>
        <w:numPr>
          <w:ilvl w:val="0"/>
          <w:numId w:val="13"/>
        </w:numPr>
        <w:jc w:val="both"/>
      </w:pPr>
      <w:r w:rsidRPr="00BF4F75">
        <w:rPr>
          <w:b/>
          <w:bCs/>
        </w:rPr>
        <w:t>Borrador de los esquemas FpML y FIXML de 2015 para repositorios de datos de intercambio basados en seguridad</w:t>
      </w:r>
    </w:p>
    <w:p w14:paraId="7F46E87B" w14:textId="141EA716" w:rsidR="00BF4F75" w:rsidRPr="00BF4F75" w:rsidRDefault="00BF4F75" w:rsidP="00BF4F75">
      <w:pPr>
        <w:jc w:val="both"/>
      </w:pPr>
      <w:r w:rsidRPr="00BF4F75">
        <w:t>La Comisión propuso especificar la forma y la manera en que los repositorios de datos de swaps basados en valores (“SDRs”) ponen a disposición de la Comisión los datos de swaps basados en valores conforme a la Regla 13n-4(b)(5) de la Ley de Bolsa, exigiendo que los datos se pongan a disposición de acuerdo con los esquemas FpML o FIXML publicados en el sitio web de la Comisión. Véase</w:t>
      </w:r>
      <w:r w:rsidR="001C0B1A">
        <w:t xml:space="preserve"> </w:t>
      </w:r>
      <w:hyperlink r:id="rId38" w:history="1">
        <w:r w:rsidRPr="00BF4F75">
          <w:rPr>
            <w:rStyle w:val="Hipervnculo"/>
          </w:rPr>
          <w:t>http://www.sec.gov/rules/proposed/2015/34-76624.pdf</w:t>
        </w:r>
      </w:hyperlink>
      <w:r w:rsidRPr="00BF4F75">
        <w:t>. El período de comentarios públicos para la propuesta de regla finalizó el 22 de febrero de 2016.</w:t>
      </w:r>
    </w:p>
    <w:p w14:paraId="5E51B2FD" w14:textId="75E36C8C" w:rsidR="00BF4F75" w:rsidRPr="00BF4F75" w:rsidRDefault="00BF4F75" w:rsidP="00BF4F75">
      <w:pPr>
        <w:jc w:val="both"/>
      </w:pPr>
      <w:r w:rsidRPr="00BF4F75">
        <w:t>Los borradores de los esquemas FpML y FIXML de 2015 para repositorios de datos de intercambio basados en valores y el borrador de la especificación técnica correspondiente están disponibles a continuación. Envíe sus comentarios sobre los borradores de los esquemas de 2015 y la especificación técnica a</w:t>
      </w:r>
      <w:r w:rsidR="001C0B1A">
        <w:t xml:space="preserve"> </w:t>
      </w:r>
      <w:hyperlink r:id="rId39" w:history="1">
        <w:r w:rsidRPr="00BF4F75">
          <w:rPr>
            <w:rStyle w:val="Hipervnculo"/>
          </w:rPr>
          <w:t>StructuredData@sec.gov</w:t>
        </w:r>
      </w:hyperlink>
      <w:r w:rsidR="001C0B1A">
        <w:t xml:space="preserve"> </w:t>
      </w:r>
      <w:r w:rsidRPr="00BF4F75">
        <w:t>e incluya “Borradores de esquemas de 2015 para SDR” en el asunto. El período de comentarios públicos para los borradores de los esquemas y la especificación técnica finalizó el 22 de febrero de 2016.</w:t>
      </w:r>
    </w:p>
    <w:p w14:paraId="7F4C7AEF" w14:textId="77777777" w:rsidR="00BF4F75" w:rsidRPr="00BF4F75" w:rsidRDefault="0073573B" w:rsidP="00BF4F75">
      <w:pPr>
        <w:numPr>
          <w:ilvl w:val="0"/>
          <w:numId w:val="14"/>
        </w:numPr>
        <w:jc w:val="both"/>
      </w:pPr>
      <w:hyperlink r:id="rId40" w:history="1">
        <w:r w:rsidR="00BF4F75" w:rsidRPr="00BF4F75">
          <w:rPr>
            <w:rStyle w:val="Hipervnculo"/>
          </w:rPr>
          <w:t>Borrador de especificación técnica (pdf)</w:t>
        </w:r>
      </w:hyperlink>
    </w:p>
    <w:p w14:paraId="341519A9" w14:textId="77777777" w:rsidR="00BF4F75" w:rsidRPr="00BF4F75" w:rsidRDefault="0073573B" w:rsidP="00BF4F75">
      <w:pPr>
        <w:numPr>
          <w:ilvl w:val="0"/>
          <w:numId w:val="14"/>
        </w:numPr>
        <w:jc w:val="both"/>
      </w:pPr>
      <w:hyperlink r:id="rId41" w:history="1">
        <w:r w:rsidR="00BF4F75" w:rsidRPr="00BF4F75">
          <w:rPr>
            <w:rStyle w:val="Hipervnculo"/>
          </w:rPr>
          <w:t>Borradores de esquemas (zip)</w:t>
        </w:r>
      </w:hyperlink>
    </w:p>
    <w:p w14:paraId="28864588" w14:textId="0D5F6245" w:rsidR="00BF4F75" w:rsidRPr="00BF4F75" w:rsidRDefault="00BF4F75" w:rsidP="00BF4F75">
      <w:pPr>
        <w:jc w:val="both"/>
      </w:pPr>
      <w:r w:rsidRPr="00BF4F75">
        <w:t>Última revisión o actualización:</w:t>
      </w:r>
      <w:r w:rsidR="001C0B1A">
        <w:t xml:space="preserve"> </w:t>
      </w:r>
      <w:r w:rsidRPr="00BF4F75">
        <w:t>12 de septiembre de 2024</w:t>
      </w:r>
    </w:p>
    <w:p w14:paraId="525F0531" w14:textId="327CD966" w:rsidR="00BF4F75" w:rsidRDefault="00BF4F75" w:rsidP="00BF4F75">
      <w:pPr>
        <w:jc w:val="both"/>
      </w:pPr>
      <w:r w:rsidRPr="00BF4F75">
        <w:rPr>
          <w:noProof/>
        </w:rPr>
        <w:lastRenderedPageBreak/>
        <w:drawing>
          <wp:inline distT="0" distB="0" distL="0" distR="0" wp14:anchorId="45DB1B34" wp14:editId="33C89EB2">
            <wp:extent cx="5612130" cy="23628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612130" cy="2362835"/>
                    </a:xfrm>
                    <a:prstGeom prst="rect">
                      <a:avLst/>
                    </a:prstGeom>
                  </pic:spPr>
                </pic:pic>
              </a:graphicData>
            </a:graphic>
          </wp:inline>
        </w:drawing>
      </w:r>
    </w:p>
    <w:p w14:paraId="7AACE383" w14:textId="77777777" w:rsidR="00BF4F75" w:rsidRDefault="00BF4F75" w:rsidP="00BF4F75">
      <w:pPr>
        <w:jc w:val="both"/>
      </w:pPr>
    </w:p>
    <w:sectPr w:rsidR="00BF4F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17FC"/>
    <w:multiLevelType w:val="multilevel"/>
    <w:tmpl w:val="904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C2B8B"/>
    <w:multiLevelType w:val="multilevel"/>
    <w:tmpl w:val="634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61ECC"/>
    <w:multiLevelType w:val="multilevel"/>
    <w:tmpl w:val="54A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F6357"/>
    <w:multiLevelType w:val="multilevel"/>
    <w:tmpl w:val="9F1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63CFF"/>
    <w:multiLevelType w:val="multilevel"/>
    <w:tmpl w:val="7884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684A74"/>
    <w:multiLevelType w:val="multilevel"/>
    <w:tmpl w:val="15F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2B1EC7"/>
    <w:multiLevelType w:val="multilevel"/>
    <w:tmpl w:val="DF1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266D1"/>
    <w:multiLevelType w:val="multilevel"/>
    <w:tmpl w:val="714A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F613EB"/>
    <w:multiLevelType w:val="multilevel"/>
    <w:tmpl w:val="C40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C96239"/>
    <w:multiLevelType w:val="multilevel"/>
    <w:tmpl w:val="DC7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93A84"/>
    <w:multiLevelType w:val="multilevel"/>
    <w:tmpl w:val="378E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AB1038"/>
    <w:multiLevelType w:val="multilevel"/>
    <w:tmpl w:val="DC7C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3842C8"/>
    <w:multiLevelType w:val="multilevel"/>
    <w:tmpl w:val="68B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C2778C"/>
    <w:multiLevelType w:val="multilevel"/>
    <w:tmpl w:val="275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13"/>
  </w:num>
  <w:num w:numId="4">
    <w:abstractNumId w:val="2"/>
  </w:num>
  <w:num w:numId="5">
    <w:abstractNumId w:val="3"/>
  </w:num>
  <w:num w:numId="6">
    <w:abstractNumId w:val="10"/>
  </w:num>
  <w:num w:numId="7">
    <w:abstractNumId w:val="11"/>
  </w:num>
  <w:num w:numId="8">
    <w:abstractNumId w:val="0"/>
  </w:num>
  <w:num w:numId="9">
    <w:abstractNumId w:val="1"/>
  </w:num>
  <w:num w:numId="10">
    <w:abstractNumId w:val="7"/>
  </w:num>
  <w:num w:numId="11">
    <w:abstractNumId w:val="12"/>
  </w:num>
  <w:num w:numId="12">
    <w:abstractNumId w:val="6"/>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75"/>
    <w:rsid w:val="001C0B1A"/>
    <w:rsid w:val="0073573B"/>
    <w:rsid w:val="007A6E8F"/>
    <w:rsid w:val="00A93879"/>
    <w:rsid w:val="00BF4F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C127"/>
  <w15:chartTrackingRefBased/>
  <w15:docId w15:val="{839A27DE-533F-4AF3-ACBF-AEB97FA5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4F75"/>
    <w:rPr>
      <w:color w:val="0563C1" w:themeColor="hyperlink"/>
      <w:u w:val="single"/>
    </w:rPr>
  </w:style>
  <w:style w:type="character" w:styleId="Mencinsinresolver">
    <w:name w:val="Unresolved Mention"/>
    <w:basedOn w:val="Fuentedeprrafopredeter"/>
    <w:uiPriority w:val="99"/>
    <w:semiHidden/>
    <w:unhideWhenUsed/>
    <w:rsid w:val="00BF4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08524">
      <w:bodyDiv w:val="1"/>
      <w:marLeft w:val="0"/>
      <w:marRight w:val="0"/>
      <w:marTop w:val="0"/>
      <w:marBottom w:val="0"/>
      <w:divBdr>
        <w:top w:val="none" w:sz="0" w:space="0" w:color="auto"/>
        <w:left w:val="none" w:sz="0" w:space="0" w:color="auto"/>
        <w:bottom w:val="none" w:sz="0" w:space="0" w:color="auto"/>
        <w:right w:val="none" w:sz="0" w:space="0" w:color="auto"/>
      </w:divBdr>
      <w:divsChild>
        <w:div w:id="1077677952">
          <w:marLeft w:val="0"/>
          <w:marRight w:val="0"/>
          <w:marTop w:val="0"/>
          <w:marBottom w:val="0"/>
          <w:divBdr>
            <w:top w:val="none" w:sz="0" w:space="0" w:color="auto"/>
            <w:left w:val="none" w:sz="0" w:space="0" w:color="auto"/>
            <w:bottom w:val="none" w:sz="0" w:space="0" w:color="auto"/>
            <w:right w:val="none" w:sz="0" w:space="0" w:color="auto"/>
          </w:divBdr>
          <w:divsChild>
            <w:div w:id="1531796114">
              <w:marLeft w:val="0"/>
              <w:marRight w:val="0"/>
              <w:marTop w:val="0"/>
              <w:marBottom w:val="0"/>
              <w:divBdr>
                <w:top w:val="none" w:sz="0" w:space="0" w:color="auto"/>
                <w:left w:val="none" w:sz="0" w:space="0" w:color="auto"/>
                <w:bottom w:val="none" w:sz="0" w:space="0" w:color="auto"/>
                <w:right w:val="none" w:sz="0" w:space="0" w:color="auto"/>
              </w:divBdr>
            </w:div>
          </w:divsChild>
        </w:div>
        <w:div w:id="1767537545">
          <w:marLeft w:val="0"/>
          <w:marRight w:val="0"/>
          <w:marTop w:val="0"/>
          <w:marBottom w:val="0"/>
          <w:divBdr>
            <w:top w:val="none" w:sz="0" w:space="0" w:color="auto"/>
            <w:left w:val="none" w:sz="0" w:space="0" w:color="auto"/>
            <w:bottom w:val="none" w:sz="0" w:space="0" w:color="auto"/>
            <w:right w:val="none" w:sz="0" w:space="0" w:color="auto"/>
          </w:divBdr>
          <w:divsChild>
            <w:div w:id="1779790719">
              <w:marLeft w:val="0"/>
              <w:marRight w:val="0"/>
              <w:marTop w:val="0"/>
              <w:marBottom w:val="0"/>
              <w:divBdr>
                <w:top w:val="none" w:sz="0" w:space="0" w:color="auto"/>
                <w:left w:val="none" w:sz="0" w:space="0" w:color="auto"/>
                <w:bottom w:val="none" w:sz="0" w:space="0" w:color="auto"/>
                <w:right w:val="none" w:sz="0" w:space="0" w:color="auto"/>
              </w:divBdr>
              <w:divsChild>
                <w:div w:id="1140003163">
                  <w:marLeft w:val="0"/>
                  <w:marRight w:val="0"/>
                  <w:marTop w:val="0"/>
                  <w:marBottom w:val="0"/>
                  <w:divBdr>
                    <w:top w:val="none" w:sz="0" w:space="0" w:color="auto"/>
                    <w:left w:val="none" w:sz="0" w:space="0" w:color="auto"/>
                    <w:bottom w:val="none" w:sz="0" w:space="0" w:color="auto"/>
                    <w:right w:val="none" w:sz="0" w:space="0" w:color="auto"/>
                  </w:divBdr>
                  <w:divsChild>
                    <w:div w:id="1061296915">
                      <w:marLeft w:val="0"/>
                      <w:marRight w:val="0"/>
                      <w:marTop w:val="0"/>
                      <w:marBottom w:val="0"/>
                      <w:divBdr>
                        <w:top w:val="none" w:sz="0" w:space="0" w:color="auto"/>
                        <w:left w:val="none" w:sz="0" w:space="0" w:color="auto"/>
                        <w:bottom w:val="none" w:sz="0" w:space="0" w:color="auto"/>
                        <w:right w:val="none" w:sz="0" w:space="0" w:color="auto"/>
                      </w:divBdr>
                      <w:divsChild>
                        <w:div w:id="846864258">
                          <w:marLeft w:val="0"/>
                          <w:marRight w:val="0"/>
                          <w:marTop w:val="0"/>
                          <w:marBottom w:val="0"/>
                          <w:divBdr>
                            <w:top w:val="none" w:sz="0" w:space="0" w:color="auto"/>
                            <w:left w:val="none" w:sz="0" w:space="0" w:color="auto"/>
                            <w:bottom w:val="none" w:sz="0" w:space="0" w:color="auto"/>
                            <w:right w:val="none" w:sz="0" w:space="0" w:color="auto"/>
                          </w:divBdr>
                          <w:divsChild>
                            <w:div w:id="712927461">
                              <w:marLeft w:val="0"/>
                              <w:marRight w:val="0"/>
                              <w:marTop w:val="0"/>
                              <w:marBottom w:val="0"/>
                              <w:divBdr>
                                <w:top w:val="none" w:sz="0" w:space="0" w:color="auto"/>
                                <w:left w:val="none" w:sz="0" w:space="0" w:color="auto"/>
                                <w:bottom w:val="none" w:sz="0" w:space="0" w:color="auto"/>
                                <w:right w:val="none" w:sz="0" w:space="0" w:color="auto"/>
                              </w:divBdr>
                              <w:divsChild>
                                <w:div w:id="1352877503">
                                  <w:marLeft w:val="0"/>
                                  <w:marRight w:val="0"/>
                                  <w:marTop w:val="0"/>
                                  <w:marBottom w:val="0"/>
                                  <w:divBdr>
                                    <w:top w:val="none" w:sz="0" w:space="0" w:color="auto"/>
                                    <w:left w:val="none" w:sz="0" w:space="0" w:color="auto"/>
                                    <w:bottom w:val="none" w:sz="0" w:space="0" w:color="auto"/>
                                    <w:right w:val="none" w:sz="0" w:space="0" w:color="auto"/>
                                  </w:divBdr>
                                </w:div>
                                <w:div w:id="1684084447">
                                  <w:marLeft w:val="0"/>
                                  <w:marRight w:val="0"/>
                                  <w:marTop w:val="0"/>
                                  <w:marBottom w:val="0"/>
                                  <w:divBdr>
                                    <w:top w:val="none" w:sz="0" w:space="0" w:color="auto"/>
                                    <w:left w:val="none" w:sz="0" w:space="0" w:color="auto"/>
                                    <w:bottom w:val="none" w:sz="0" w:space="0" w:color="auto"/>
                                    <w:right w:val="none" w:sz="0" w:space="0" w:color="auto"/>
                                  </w:divBdr>
                                </w:div>
                                <w:div w:id="17874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14349">
      <w:bodyDiv w:val="1"/>
      <w:marLeft w:val="0"/>
      <w:marRight w:val="0"/>
      <w:marTop w:val="0"/>
      <w:marBottom w:val="0"/>
      <w:divBdr>
        <w:top w:val="none" w:sz="0" w:space="0" w:color="auto"/>
        <w:left w:val="none" w:sz="0" w:space="0" w:color="auto"/>
        <w:bottom w:val="none" w:sz="0" w:space="0" w:color="auto"/>
        <w:right w:val="none" w:sz="0" w:space="0" w:color="auto"/>
      </w:divBdr>
      <w:divsChild>
        <w:div w:id="1416056189">
          <w:marLeft w:val="0"/>
          <w:marRight w:val="0"/>
          <w:marTop w:val="0"/>
          <w:marBottom w:val="0"/>
          <w:divBdr>
            <w:top w:val="none" w:sz="0" w:space="0" w:color="auto"/>
            <w:left w:val="none" w:sz="0" w:space="0" w:color="auto"/>
            <w:bottom w:val="none" w:sz="0" w:space="0" w:color="auto"/>
            <w:right w:val="none" w:sz="0" w:space="0" w:color="auto"/>
          </w:divBdr>
        </w:div>
        <w:div w:id="1649625084">
          <w:marLeft w:val="0"/>
          <w:marRight w:val="0"/>
          <w:marTop w:val="300"/>
          <w:marBottom w:val="300"/>
          <w:divBdr>
            <w:top w:val="none" w:sz="0" w:space="0" w:color="auto"/>
            <w:left w:val="none" w:sz="0" w:space="0" w:color="auto"/>
            <w:bottom w:val="none" w:sz="0" w:space="0" w:color="auto"/>
            <w:right w:val="none" w:sz="0" w:space="0" w:color="auto"/>
          </w:divBdr>
        </w:div>
        <w:div w:id="1494104851">
          <w:marLeft w:val="0"/>
          <w:marRight w:val="0"/>
          <w:marTop w:val="600"/>
          <w:marBottom w:val="0"/>
          <w:divBdr>
            <w:top w:val="none" w:sz="0" w:space="0" w:color="auto"/>
            <w:left w:val="none" w:sz="0" w:space="0" w:color="auto"/>
            <w:bottom w:val="none" w:sz="0" w:space="0" w:color="auto"/>
            <w:right w:val="none" w:sz="0" w:space="0" w:color="auto"/>
          </w:divBdr>
          <w:divsChild>
            <w:div w:id="67642278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ec.gov/rules/final/2019/bhca-7.pdf" TargetMode="External"/><Relationship Id="rId26" Type="http://schemas.openxmlformats.org/officeDocument/2006/relationships/hyperlink" Target="https://www.sec.gov/files/TransactionFeePilotFeeChangesDataSetTechnicalSpecification_20190523.pdf" TargetMode="External"/><Relationship Id="rId39" Type="http://schemas.openxmlformats.org/officeDocument/2006/relationships/hyperlink" Target="mailto:StructuredData@sec.gov?subject=Draft%202015%20Schemas%20for%20SDRs" TargetMode="External"/><Relationship Id="rId21" Type="http://schemas.openxmlformats.org/officeDocument/2006/relationships/hyperlink" Target="https://www.sec.gov/rules/final/2018/34-84528.pdf" TargetMode="External"/><Relationship Id="rId34" Type="http://schemas.openxmlformats.org/officeDocument/2006/relationships/hyperlink" Target="mailto:StructuredData@sec.gov" TargetMode="External"/><Relationship Id="rId42" Type="http://schemas.openxmlformats.org/officeDocument/2006/relationships/image" Target="media/image3.png"/><Relationship Id="rId7" Type="http://schemas.openxmlformats.org/officeDocument/2006/relationships/hyperlink" Target="https://www.sec.gov/data-research/taxonomies" TargetMode="External"/><Relationship Id="rId2" Type="http://schemas.openxmlformats.org/officeDocument/2006/relationships/styles" Target="styles.xml"/><Relationship Id="rId16" Type="http://schemas.openxmlformats.org/officeDocument/2006/relationships/hyperlink" Target="http://www.sec.gov/info/edgar/edgartaxonomies.shtml" TargetMode="External"/><Relationship Id="rId20" Type="http://schemas.openxmlformats.org/officeDocument/2006/relationships/hyperlink" Target="https://www.sec.gov/files/VolckerMetricsXML_Specifications.pdf" TargetMode="External"/><Relationship Id="rId29" Type="http://schemas.openxmlformats.org/officeDocument/2006/relationships/hyperlink" Target="https://www.sec.gov/files/rules/final/2024/33-11294.pdf" TargetMode="External"/><Relationship Id="rId41" Type="http://schemas.openxmlformats.org/officeDocument/2006/relationships/hyperlink" Target="https://www.sec.gov/files/SBS_Data_Technical_Specification-2015-12-11.zip" TargetMode="External"/><Relationship Id="rId1" Type="http://schemas.openxmlformats.org/officeDocument/2006/relationships/numbering" Target="numbering.xml"/><Relationship Id="rId6" Type="http://schemas.openxmlformats.org/officeDocument/2006/relationships/hyperlink" Target="https://www.xbrl.org/news/draft-of-updated-2024-vip-taxonomy-now-available/" TargetMode="External"/><Relationship Id="rId11" Type="http://schemas.openxmlformats.org/officeDocument/2006/relationships/hyperlink" Target="https://www.xbrl.org/tag/vip-taxonomy/" TargetMode="External"/><Relationship Id="rId24" Type="http://schemas.openxmlformats.org/officeDocument/2006/relationships/hyperlink" Target="https://github.com/sec-gov/" TargetMode="External"/><Relationship Id="rId32" Type="http://schemas.openxmlformats.org/officeDocument/2006/relationships/hyperlink" Target="https://xbrl.sec.gov/vip/2024q4/vip-taxonomy-guide-2024-09-12.pdf" TargetMode="External"/><Relationship Id="rId37" Type="http://schemas.openxmlformats.org/officeDocument/2006/relationships/hyperlink" Target="https://www.github.com/sec-gov/dmdr" TargetMode="External"/><Relationship Id="rId40" Type="http://schemas.openxmlformats.org/officeDocument/2006/relationships/hyperlink" Target="https://www.sec.gov/files/SBS_Data_Technical_Specification-2015-12-11.pdf" TargetMode="External"/><Relationship Id="rId5" Type="http://schemas.openxmlformats.org/officeDocument/2006/relationships/image" Target="media/image1.jpeg"/><Relationship Id="rId15" Type="http://schemas.openxmlformats.org/officeDocument/2006/relationships/hyperlink" Target="https://www.sec.gov/info/edgar/edgartaxonomies.shtml" TargetMode="External"/><Relationship Id="rId23" Type="http://schemas.openxmlformats.org/officeDocument/2006/relationships/hyperlink" Target="https://www.sec.gov/files/oh-20240520.zip" TargetMode="External"/><Relationship Id="rId28" Type="http://schemas.openxmlformats.org/officeDocument/2006/relationships/hyperlink" Target="https://www.sec.gov/structureddata/osddrafttaxonomyfiles" TargetMode="External"/><Relationship Id="rId36" Type="http://schemas.openxmlformats.org/officeDocument/2006/relationships/hyperlink" Target="https://www.sec.gov/files/dmdr-2024-03-31.zip" TargetMode="External"/><Relationship Id="rId10" Type="http://schemas.openxmlformats.org/officeDocument/2006/relationships/hyperlink" Target="https://www.xbrl.org/tag/ixbrl/" TargetMode="External"/><Relationship Id="rId19" Type="http://schemas.openxmlformats.org/officeDocument/2006/relationships/hyperlink" Target="https://www.sec.gov/files/VolckerMetricsInstructions.pdf" TargetMode="External"/><Relationship Id="rId31" Type="http://schemas.openxmlformats.org/officeDocument/2006/relationships/hyperlink" Target="https://xbrl.sec.gov/vip/2024q4/vip-2024q4.zi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rila/" TargetMode="External"/><Relationship Id="rId14" Type="http://schemas.openxmlformats.org/officeDocument/2006/relationships/hyperlink" Target="http://www.sec.gov/info/edgar/edgartaxonomies.shtml" TargetMode="External"/><Relationship Id="rId22" Type="http://schemas.openxmlformats.org/officeDocument/2006/relationships/hyperlink" Target="https://www.sec.gov/files/order_handling_data_technical_specification-2024-05-21.pdf" TargetMode="External"/><Relationship Id="rId27" Type="http://schemas.openxmlformats.org/officeDocument/2006/relationships/hyperlink" Target="https://www.sec.gov/files/tfp_schema_and_samples_20190523.zip" TargetMode="External"/><Relationship Id="rId30" Type="http://schemas.openxmlformats.org/officeDocument/2006/relationships/hyperlink" Target="mailto:StructuredData@sec.gov" TargetMode="External"/><Relationship Id="rId35" Type="http://schemas.openxmlformats.org/officeDocument/2006/relationships/hyperlink" Target="https://www.sec.gov/files/dmdr_technical_specification_2024-03-31.pdf" TargetMode="External"/><Relationship Id="rId43" Type="http://schemas.openxmlformats.org/officeDocument/2006/relationships/fontTable" Target="fontTable.xml"/><Relationship Id="rId8" Type="http://schemas.openxmlformats.org/officeDocument/2006/relationships/hyperlink" Target="https://www.xbrl.org/tag/sec-taxonomy/" TargetMode="External"/><Relationship Id="rId3" Type="http://schemas.openxmlformats.org/officeDocument/2006/relationships/settings" Target="settings.xml"/><Relationship Id="rId12" Type="http://schemas.openxmlformats.org/officeDocument/2006/relationships/hyperlink" Target="https://www.xbrl.org/tag/us/" TargetMode="External"/><Relationship Id="rId17" Type="http://schemas.openxmlformats.org/officeDocument/2006/relationships/hyperlink" Target="https://www.sec.gov/info/edgar/edgartaxonomies.shtml" TargetMode="External"/><Relationship Id="rId25" Type="http://schemas.openxmlformats.org/officeDocument/2006/relationships/hyperlink" Target="https://www.sec.gov/rules/final/2018/34-84875.pdf." TargetMode="External"/><Relationship Id="rId33" Type="http://schemas.openxmlformats.org/officeDocument/2006/relationships/hyperlink" Target="https://www.sec.gov/files/rules/final/2023/34-98845.pdf" TargetMode="External"/><Relationship Id="rId38" Type="http://schemas.openxmlformats.org/officeDocument/2006/relationships/hyperlink" Target="http://www.sec.gov/rules/proposed/2015/34-766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1764</Words>
  <Characters>9704</Characters>
  <Application>Microsoft Office Word</Application>
  <DocSecurity>0</DocSecurity>
  <Lines>80</Lines>
  <Paragraphs>22</Paragraphs>
  <ScaleCrop>false</ScaleCrop>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2024-09-21T04:21:00Z</dcterms:created>
  <dcterms:modified xsi:type="dcterms:W3CDTF">2024-10-01T02:51:00Z</dcterms:modified>
</cp:coreProperties>
</file>