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6FA9" w14:textId="77777777" w:rsidR="001361C3" w:rsidRPr="001A1028" w:rsidRDefault="001361C3" w:rsidP="001361C3">
      <w:pPr>
        <w:jc w:val="both"/>
        <w:rPr>
          <w:rFonts w:ascii="Abadi" w:hAnsi="Abadi"/>
          <w:sz w:val="24"/>
          <w:szCs w:val="24"/>
        </w:rPr>
      </w:pPr>
      <w:r w:rsidRPr="001A1028">
        <w:rPr>
          <w:rFonts w:ascii="Abadi" w:hAnsi="Abadi"/>
          <w:sz w:val="24"/>
          <w:szCs w:val="24"/>
        </w:rPr>
        <w:t>El seminario web XBRL Directions analiza en profundidad el control de versiones de taxonomía</w:t>
      </w:r>
    </w:p>
    <w:p w14:paraId="3DE65BA9" w14:textId="2EC7741B" w:rsidR="001361C3" w:rsidRPr="001361C3" w:rsidRDefault="001361C3" w:rsidP="001361C3">
      <w:pPr>
        <w:jc w:val="both"/>
      </w:pPr>
      <w:r w:rsidRPr="001361C3">
        <w:rPr>
          <w:noProof/>
        </w:rPr>
        <w:drawing>
          <wp:inline distT="0" distB="0" distL="0" distR="0" wp14:anchorId="5B4E3E57" wp14:editId="05BC95B2">
            <wp:extent cx="5612130" cy="3747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265049C6" w14:textId="6CFBECF1" w:rsidR="00CC71A9" w:rsidRPr="001361C3" w:rsidRDefault="00CC71A9" w:rsidP="00CC71A9">
      <w:pPr>
        <w:jc w:val="both"/>
      </w:pPr>
      <w:r w:rsidRPr="001361C3">
        <w:t>Publicado el 7 de octubre de 2024 por</w:t>
      </w:r>
      <w:r w:rsidR="00D547E1">
        <w:t xml:space="preserve"> </w:t>
      </w:r>
      <w:hyperlink r:id="rId6" w:history="1">
        <w:r w:rsidRPr="001361C3">
          <w:rPr>
            <w:rStyle w:val="Hipervnculo"/>
            <w:b/>
            <w:bCs/>
          </w:rPr>
          <w:t>Editor</w:t>
        </w:r>
      </w:hyperlink>
    </w:p>
    <w:p w14:paraId="49572D66" w14:textId="69D04D6D" w:rsidR="001361C3" w:rsidRPr="001361C3" w:rsidRDefault="001361C3" w:rsidP="001361C3">
      <w:pPr>
        <w:jc w:val="both"/>
      </w:pPr>
      <w:r w:rsidRPr="001361C3">
        <w:t>El 26 de septiembre, organizamos nuestro seminario web exclusivo para miembros,</w:t>
      </w:r>
      <w:r w:rsidR="00D547E1">
        <w:t xml:space="preserve"> </w:t>
      </w:r>
      <w:r w:rsidRPr="001361C3">
        <w:rPr>
          <w:i/>
          <w:iCs/>
        </w:rPr>
        <w:t>XBRL Directions</w:t>
      </w:r>
      <w:r w:rsidRPr="001361C3">
        <w:t>, centrado en los aspectos esenciales de la gestión de versiones de taxonomías. Esta sesión de 30 minutos estuvo repleta de información sobre esquemas de versiones, planificación de lanzamientos de taxonomías e implementación de correcciones urgentes. También exploramos cómo comunicar los cambios de taxonomía de manera eficaz a las diferentes partes interesadas.</w:t>
      </w:r>
    </w:p>
    <w:p w14:paraId="30757514" w14:textId="77777777" w:rsidR="001361C3" w:rsidRPr="001361C3" w:rsidRDefault="001361C3" w:rsidP="001361C3">
      <w:pPr>
        <w:jc w:val="both"/>
      </w:pPr>
      <w:r w:rsidRPr="001361C3">
        <w:t>Dirigida por el Dr. Ben Russell, copresidente del Grupo de trabajo de diseño de taxonomía, y Catalina Ibañez, presidenta del Grupo de trabajo de concientización sobre la implementación, la sesión estuvo repleta de conocimientos prácticos para ayudar a los asistentes a navegar mejor por las complejidades de la gestión de la taxonomía.</w:t>
      </w:r>
    </w:p>
    <w:p w14:paraId="25193DA2" w14:textId="260AD62F" w:rsidR="001361C3" w:rsidRPr="001361C3" w:rsidRDefault="001361C3" w:rsidP="001361C3">
      <w:pPr>
        <w:jc w:val="both"/>
      </w:pPr>
      <w:r w:rsidRPr="001361C3">
        <w:t>Para aquellos que se lo perdieron, ¡no se preocupen! Pueden ver la repetición completa del seminario web</w:t>
      </w:r>
      <w:r w:rsidR="00D547E1">
        <w:t xml:space="preserve"> </w:t>
      </w:r>
      <w:hyperlink r:id="rId7" w:tgtFrame="_blank" w:history="1">
        <w:r w:rsidRPr="001361C3">
          <w:rPr>
            <w:rStyle w:val="Hipervnculo"/>
          </w:rPr>
          <w:t>aquí</w:t>
        </w:r>
      </w:hyperlink>
      <w:r w:rsidRPr="001361C3">
        <w:t>. Además, para obtener más información sobre las versiones de taxonomía y las estrategias de comunicación, consulte la guía relevante en nuestro sitio web</w:t>
      </w:r>
      <w:r w:rsidR="00D547E1">
        <w:t xml:space="preserve"> </w:t>
      </w:r>
      <w:hyperlink r:id="rId8" w:tgtFrame="_blank" w:history="1">
        <w:r w:rsidRPr="001361C3">
          <w:rPr>
            <w:rStyle w:val="Hipervnculo"/>
          </w:rPr>
          <w:t>aquí</w:t>
        </w:r>
      </w:hyperlink>
      <w:r w:rsidRPr="001361C3">
        <w:t>.</w:t>
      </w:r>
    </w:p>
    <w:p w14:paraId="545E40A0" w14:textId="2A394F09" w:rsidR="001361C3" w:rsidRDefault="00D547E1" w:rsidP="001361C3">
      <w:pPr>
        <w:jc w:val="both"/>
        <w:rPr>
          <w:rStyle w:val="Hipervnculo"/>
        </w:rPr>
      </w:pPr>
      <w:hyperlink r:id="rId9" w:history="1">
        <w:r w:rsidR="001361C3" w:rsidRPr="001361C3">
          <w:rPr>
            <w:rStyle w:val="Hipervnculo"/>
          </w:rPr>
          <w:t>XII Webinar</w:t>
        </w:r>
        <w:r>
          <w:rPr>
            <w:rStyle w:val="Hipervnculo"/>
          </w:rPr>
          <w:t xml:space="preserve"> </w:t>
        </w:r>
      </w:hyperlink>
      <w:hyperlink r:id="rId10" w:history="1">
        <w:r w:rsidR="001361C3" w:rsidRPr="001361C3">
          <w:rPr>
            <w:rStyle w:val="Hipervnculo"/>
          </w:rPr>
          <w:t>sobre Versiones</w:t>
        </w:r>
        <w:r>
          <w:rPr>
            <w:rStyle w:val="Hipervnculo"/>
          </w:rPr>
          <w:t xml:space="preserve"> </w:t>
        </w:r>
      </w:hyperlink>
      <w:hyperlink r:id="rId11" w:history="1">
        <w:r w:rsidR="001361C3" w:rsidRPr="001361C3">
          <w:rPr>
            <w:rStyle w:val="Hipervnculo"/>
          </w:rPr>
          <w:t>de Taxonomía</w:t>
        </w:r>
        <w:r>
          <w:rPr>
            <w:rStyle w:val="Hipervnculo"/>
          </w:rPr>
          <w:t xml:space="preserve"> </w:t>
        </w:r>
      </w:hyperlink>
      <w:hyperlink r:id="rId12" w:history="1">
        <w:r w:rsidR="001361C3" w:rsidRPr="001361C3">
          <w:rPr>
            <w:rStyle w:val="Hipervnculo"/>
          </w:rPr>
          <w:t>Noticias</w:t>
        </w:r>
      </w:hyperlink>
    </w:p>
    <w:p w14:paraId="52B38C14" w14:textId="4D11B734" w:rsidR="00CC71A9" w:rsidRPr="00CC71A9" w:rsidRDefault="00CC71A9" w:rsidP="001361C3">
      <w:pPr>
        <w:jc w:val="both"/>
        <w:rPr>
          <w:rStyle w:val="Hipervnculo"/>
          <w:color w:val="auto"/>
        </w:rPr>
      </w:pPr>
    </w:p>
    <w:p w14:paraId="3BAE1ADC" w14:textId="21494304" w:rsidR="00CC71A9" w:rsidRPr="00CC71A9" w:rsidRDefault="00CC71A9" w:rsidP="001361C3">
      <w:pPr>
        <w:jc w:val="both"/>
        <w:rPr>
          <w:rStyle w:val="Hipervnculo"/>
          <w:color w:val="auto"/>
        </w:rPr>
      </w:pPr>
    </w:p>
    <w:p w14:paraId="129CA2CF" w14:textId="77777777" w:rsidR="00CC71A9" w:rsidRPr="001361C3" w:rsidRDefault="00CC71A9" w:rsidP="001361C3">
      <w:pPr>
        <w:jc w:val="both"/>
      </w:pPr>
    </w:p>
    <w:p w14:paraId="586457F0" w14:textId="6FD8B9B5" w:rsidR="00F17930" w:rsidRPr="00F17930" w:rsidRDefault="00F17930" w:rsidP="00F17930">
      <w:pPr>
        <w:jc w:val="both"/>
      </w:pPr>
      <w:r w:rsidRPr="00F17930">
        <w:rPr>
          <w:noProof/>
        </w:rPr>
        <w:lastRenderedPageBreak/>
        <w:drawing>
          <wp:inline distT="0" distB="0" distL="0" distR="0" wp14:anchorId="0E010688" wp14:editId="075F58A7">
            <wp:extent cx="1337310" cy="551815"/>
            <wp:effectExtent l="0" t="0" r="0" b="635"/>
            <wp:docPr id="3" name="Imagen 3" descr="XBR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BR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310" cy="551815"/>
                    </a:xfrm>
                    <a:prstGeom prst="rect">
                      <a:avLst/>
                    </a:prstGeom>
                    <a:noFill/>
                    <a:ln>
                      <a:noFill/>
                    </a:ln>
                  </pic:spPr>
                </pic:pic>
              </a:graphicData>
            </a:graphic>
          </wp:inline>
        </w:drawing>
      </w:r>
    </w:p>
    <w:p w14:paraId="35261BB8" w14:textId="77777777" w:rsidR="00F17930" w:rsidRPr="00F17930" w:rsidRDefault="00F17930" w:rsidP="00F17930">
      <w:pPr>
        <w:jc w:val="both"/>
        <w:rPr>
          <w:b/>
          <w:bCs/>
        </w:rPr>
      </w:pPr>
      <w:r w:rsidRPr="00F17930">
        <w:rPr>
          <w:b/>
          <w:bCs/>
        </w:rPr>
        <w:t>Cómo gestionar el control de versiones de la taxonomía</w:t>
      </w:r>
    </w:p>
    <w:p w14:paraId="16429E9F" w14:textId="78060BC5" w:rsidR="00F17930" w:rsidRPr="00F17930" w:rsidRDefault="00F17930" w:rsidP="00F17930">
      <w:pPr>
        <w:jc w:val="both"/>
      </w:pPr>
      <w:r w:rsidRPr="00F17930">
        <w:t>Este documento es un</w:t>
      </w:r>
      <w:r w:rsidR="00D547E1">
        <w:t xml:space="preserve"> </w:t>
      </w:r>
      <w:r w:rsidRPr="00F17930">
        <w:rPr>
          <w:i/>
          <w:iCs/>
        </w:rPr>
        <w:t>borrador de revisión</w:t>
      </w:r>
      <w:r w:rsidRPr="00F17930">
        <w:t>. Se invita a los lectores a enviar comentarios al</w:t>
      </w:r>
      <w:r w:rsidR="00BD7A41">
        <w:t xml:space="preserve"> </w:t>
      </w:r>
      <w:hyperlink r:id="rId15" w:history="1">
        <w:r w:rsidRPr="00F17930">
          <w:rPr>
            <w:rStyle w:val="Hipervnculo"/>
          </w:rPr>
          <w:t>Grupo de trabajo de orientación sobre arquitectura de taxonomía</w:t>
        </w:r>
      </w:hyperlink>
      <w:r w:rsidRPr="00F17930">
        <w:t>.</w:t>
      </w:r>
    </w:p>
    <w:p w14:paraId="14CBF256" w14:textId="77777777" w:rsidR="00F17930" w:rsidRPr="00F17930" w:rsidRDefault="00F17930" w:rsidP="00F17930">
      <w:pPr>
        <w:jc w:val="both"/>
        <w:rPr>
          <w:b/>
          <w:bCs/>
        </w:rPr>
      </w:pPr>
      <w:r w:rsidRPr="00F17930">
        <w:rPr>
          <w:b/>
          <w:bCs/>
        </w:rPr>
        <w:t>Editores</w:t>
      </w:r>
    </w:p>
    <w:p w14:paraId="6F1C8609" w14:textId="22B9C702" w:rsidR="00F17930" w:rsidRPr="00F17930" w:rsidRDefault="00F17930" w:rsidP="00C65A41">
      <w:pPr>
        <w:numPr>
          <w:ilvl w:val="0"/>
          <w:numId w:val="2"/>
        </w:numPr>
        <w:spacing w:after="0"/>
        <w:jc w:val="both"/>
      </w:pPr>
      <w:r w:rsidRPr="00F17930">
        <w:t>Revathy Ramanan,</w:t>
      </w:r>
      <w:r w:rsidR="00BD7A41">
        <w:t xml:space="preserve"> </w:t>
      </w:r>
      <w:r w:rsidRPr="00F17930">
        <w:rPr>
          <w:i/>
          <w:iCs/>
        </w:rPr>
        <w:t>XBRL International Inc.</w:t>
      </w:r>
    </w:p>
    <w:p w14:paraId="344EFB56" w14:textId="44E5D569" w:rsidR="00F17930" w:rsidRPr="00F17930" w:rsidRDefault="00F17930" w:rsidP="00C65A41">
      <w:pPr>
        <w:numPr>
          <w:ilvl w:val="0"/>
          <w:numId w:val="2"/>
        </w:numPr>
        <w:spacing w:after="0"/>
        <w:jc w:val="both"/>
      </w:pPr>
      <w:r w:rsidRPr="00F17930">
        <w:t>Ben Russell,</w:t>
      </w:r>
      <w:r w:rsidR="00BD7A41">
        <w:t xml:space="preserve"> </w:t>
      </w:r>
      <w:r w:rsidRPr="00F17930">
        <w:rPr>
          <w:i/>
          <w:iCs/>
        </w:rPr>
        <w:t>Archivo central</w:t>
      </w:r>
    </w:p>
    <w:p w14:paraId="550CD3A7" w14:textId="661FBF6E" w:rsidR="00F17930" w:rsidRPr="00F17930" w:rsidRDefault="00F17930" w:rsidP="00F17930">
      <w:pPr>
        <w:numPr>
          <w:ilvl w:val="0"/>
          <w:numId w:val="2"/>
        </w:numPr>
        <w:jc w:val="both"/>
      </w:pPr>
      <w:r w:rsidRPr="00F17930">
        <w:t>Joel Vicente,</w:t>
      </w:r>
      <w:r w:rsidR="00BD7A41">
        <w:t xml:space="preserve"> </w:t>
      </w:r>
      <w:r w:rsidRPr="00F17930">
        <w:rPr>
          <w:i/>
          <w:iCs/>
        </w:rPr>
        <w:t>CoreFiling</w:t>
      </w:r>
    </w:p>
    <w:p w14:paraId="68209D75" w14:textId="77777777" w:rsidR="00F17930" w:rsidRPr="00F17930" w:rsidRDefault="00F17930" w:rsidP="00F17930">
      <w:pPr>
        <w:jc w:val="both"/>
        <w:rPr>
          <w:b/>
          <w:bCs/>
        </w:rPr>
      </w:pPr>
      <w:r w:rsidRPr="00F17930">
        <w:rPr>
          <w:b/>
          <w:bCs/>
        </w:rPr>
        <w:t>Colaboradores</w:t>
      </w:r>
    </w:p>
    <w:p w14:paraId="46459202" w14:textId="5AC82746" w:rsidR="00F17930" w:rsidRPr="00F17930" w:rsidRDefault="00F17930" w:rsidP="00C65A41">
      <w:pPr>
        <w:numPr>
          <w:ilvl w:val="0"/>
          <w:numId w:val="3"/>
        </w:numPr>
        <w:spacing w:after="0"/>
        <w:jc w:val="both"/>
      </w:pPr>
      <w:r w:rsidRPr="00F17930">
        <w:t>Paul Hulst,</w:t>
      </w:r>
      <w:r w:rsidR="00D547E1">
        <w:t xml:space="preserve"> </w:t>
      </w:r>
      <w:r w:rsidRPr="00F17930">
        <w:rPr>
          <w:i/>
          <w:iCs/>
        </w:rPr>
        <w:t>Banco De Nederlandsche</w:t>
      </w:r>
    </w:p>
    <w:p w14:paraId="75FF1DE8" w14:textId="13192CF1" w:rsidR="00F17930" w:rsidRPr="00F17930" w:rsidRDefault="00F17930" w:rsidP="00C65A41">
      <w:pPr>
        <w:numPr>
          <w:ilvl w:val="0"/>
          <w:numId w:val="3"/>
        </w:numPr>
        <w:spacing w:after="0"/>
        <w:jc w:val="both"/>
      </w:pPr>
      <w:r w:rsidRPr="00F17930">
        <w:t>Erwin Kaats,</w:t>
      </w:r>
      <w:r w:rsidR="00D547E1">
        <w:t xml:space="preserve"> </w:t>
      </w:r>
      <w:r w:rsidRPr="00F17930">
        <w:rPr>
          <w:i/>
          <w:iCs/>
        </w:rPr>
        <w:t>Logius</w:t>
      </w:r>
    </w:p>
    <w:p w14:paraId="572B3C8C" w14:textId="24CA034D" w:rsidR="00F17930" w:rsidRPr="00F17930" w:rsidRDefault="00F17930" w:rsidP="00C65A41">
      <w:pPr>
        <w:numPr>
          <w:ilvl w:val="0"/>
          <w:numId w:val="3"/>
        </w:numPr>
        <w:spacing w:after="0"/>
        <w:jc w:val="both"/>
      </w:pPr>
      <w:r w:rsidRPr="00F17930">
        <w:t>David Shaw,</w:t>
      </w:r>
      <w:r w:rsidR="00D547E1">
        <w:t xml:space="preserve"> </w:t>
      </w:r>
      <w:r w:rsidRPr="00F17930">
        <w:rPr>
          <w:i/>
          <w:iCs/>
        </w:rPr>
        <w:t>Consejo de Normas de Contabilidad Financiera</w:t>
      </w:r>
    </w:p>
    <w:p w14:paraId="30BEBD06" w14:textId="525CF3F6" w:rsidR="00F17930" w:rsidRPr="00F17930" w:rsidRDefault="00F17930" w:rsidP="00F17930">
      <w:pPr>
        <w:numPr>
          <w:ilvl w:val="0"/>
          <w:numId w:val="3"/>
        </w:numPr>
        <w:jc w:val="both"/>
        <w:rPr>
          <w:lang w:val="en-US"/>
        </w:rPr>
      </w:pPr>
      <w:r w:rsidRPr="00F17930">
        <w:rPr>
          <w:lang w:val="en-US"/>
        </w:rPr>
        <w:t>Paul Warren,</w:t>
      </w:r>
      <w:r w:rsidR="00D547E1">
        <w:rPr>
          <w:lang w:val="en-US"/>
        </w:rPr>
        <w:t xml:space="preserve"> </w:t>
      </w:r>
      <w:r w:rsidRPr="00F17930">
        <w:rPr>
          <w:i/>
          <w:iCs/>
          <w:lang w:val="en-US"/>
        </w:rPr>
        <w:t>XBRL International Inc.</w:t>
      </w:r>
    </w:p>
    <w:p w14:paraId="206653D1" w14:textId="77777777" w:rsidR="00F17930" w:rsidRPr="00F17930" w:rsidRDefault="00F17930" w:rsidP="00F17930">
      <w:pPr>
        <w:jc w:val="both"/>
        <w:rPr>
          <w:b/>
          <w:bCs/>
        </w:rPr>
      </w:pPr>
      <w:r w:rsidRPr="00F17930">
        <w:rPr>
          <w:b/>
          <w:bCs/>
        </w:rPr>
        <w:t>Tabla de contenido</w:t>
      </w:r>
    </w:p>
    <w:p w14:paraId="10AA3B17" w14:textId="53081163" w:rsidR="00F17930" w:rsidRPr="00F17930" w:rsidRDefault="00F17930" w:rsidP="00F17930">
      <w:pPr>
        <w:numPr>
          <w:ilvl w:val="0"/>
          <w:numId w:val="4"/>
        </w:numPr>
        <w:jc w:val="both"/>
      </w:pPr>
      <w:r w:rsidRPr="00F17930">
        <w:t>1 </w:t>
      </w:r>
      <w:hyperlink r:id="rId16" w:anchor="1-introduction" w:history="1">
        <w:r w:rsidRPr="00F17930">
          <w:rPr>
            <w:rStyle w:val="Hipervnculo"/>
          </w:rPr>
          <w:t>Introducción</w:t>
        </w:r>
      </w:hyperlink>
    </w:p>
    <w:p w14:paraId="6DA9A3BD" w14:textId="778FE7D1" w:rsidR="00F17930" w:rsidRPr="00F17930" w:rsidRDefault="00F17930" w:rsidP="00F17930">
      <w:pPr>
        <w:numPr>
          <w:ilvl w:val="0"/>
          <w:numId w:val="4"/>
        </w:numPr>
        <w:jc w:val="both"/>
      </w:pPr>
      <w:r w:rsidRPr="00F17930">
        <w:t>2 </w:t>
      </w:r>
      <w:hyperlink r:id="rId17" w:anchor="2-versioning-taxonomy-releases" w:history="1">
        <w:r w:rsidRPr="00F17930">
          <w:rPr>
            <w:rStyle w:val="Hipervnculo"/>
          </w:rPr>
          <w:t>Versiones de la taxonomía</w:t>
        </w:r>
      </w:hyperlink>
    </w:p>
    <w:p w14:paraId="1FFB8751" w14:textId="66BD297F" w:rsidR="00F17930" w:rsidRPr="00F17930" w:rsidRDefault="00F17930" w:rsidP="00F17930">
      <w:pPr>
        <w:numPr>
          <w:ilvl w:val="0"/>
          <w:numId w:val="4"/>
        </w:numPr>
        <w:jc w:val="both"/>
      </w:pPr>
      <w:r w:rsidRPr="00F17930">
        <w:t>3 </w:t>
      </w:r>
      <w:hyperlink r:id="rId18" w:anchor="3-versioning-schemes" w:history="1">
        <w:r w:rsidRPr="00F17930">
          <w:rPr>
            <w:rStyle w:val="Hipervnculo"/>
          </w:rPr>
          <w:t>Esquemas de versiones</w:t>
        </w:r>
      </w:hyperlink>
    </w:p>
    <w:p w14:paraId="0F82F96F" w14:textId="01EDCE9F" w:rsidR="00F17930" w:rsidRPr="00F17930" w:rsidRDefault="00F17930" w:rsidP="00F17930">
      <w:pPr>
        <w:numPr>
          <w:ilvl w:val="1"/>
          <w:numId w:val="4"/>
        </w:numPr>
        <w:jc w:val="both"/>
      </w:pPr>
      <w:r w:rsidRPr="00F17930">
        <w:t>3.1 </w:t>
      </w:r>
      <w:hyperlink r:id="rId19" w:anchor="31-dates" w:history="1">
        <w:r w:rsidRPr="00F17930">
          <w:rPr>
            <w:rStyle w:val="Hipervnculo"/>
          </w:rPr>
          <w:t>Fechas</w:t>
        </w:r>
      </w:hyperlink>
    </w:p>
    <w:p w14:paraId="2EA7C3FC" w14:textId="1B1C694E" w:rsidR="00F17930" w:rsidRPr="00F17930" w:rsidRDefault="00F17930" w:rsidP="00F17930">
      <w:pPr>
        <w:numPr>
          <w:ilvl w:val="1"/>
          <w:numId w:val="4"/>
        </w:numPr>
        <w:jc w:val="both"/>
      </w:pPr>
      <w:r w:rsidRPr="00F17930">
        <w:t>3.2 </w:t>
      </w:r>
      <w:hyperlink r:id="rId20" w:anchor="32-numbers" w:history="1">
        <w:r w:rsidRPr="00F17930">
          <w:rPr>
            <w:rStyle w:val="Hipervnculo"/>
          </w:rPr>
          <w:t>Números</w:t>
        </w:r>
      </w:hyperlink>
    </w:p>
    <w:p w14:paraId="751657E9" w14:textId="2C008A04" w:rsidR="00F17930" w:rsidRPr="00F17930" w:rsidRDefault="00F17930" w:rsidP="00F17930">
      <w:pPr>
        <w:numPr>
          <w:ilvl w:val="1"/>
          <w:numId w:val="4"/>
        </w:numPr>
        <w:jc w:val="both"/>
      </w:pPr>
      <w:r w:rsidRPr="00F17930">
        <w:t>3.3 </w:t>
      </w:r>
      <w:hyperlink r:id="rId21" w:anchor="33-combination" w:history="1">
        <w:r w:rsidRPr="00F17930">
          <w:rPr>
            <w:rStyle w:val="Hipervnculo"/>
          </w:rPr>
          <w:t>Combinación</w:t>
        </w:r>
      </w:hyperlink>
    </w:p>
    <w:p w14:paraId="75377CC7" w14:textId="2BBB7A2B" w:rsidR="00F17930" w:rsidRPr="00F17930" w:rsidRDefault="00F17930" w:rsidP="00F17930">
      <w:pPr>
        <w:numPr>
          <w:ilvl w:val="0"/>
          <w:numId w:val="4"/>
        </w:numPr>
        <w:jc w:val="both"/>
      </w:pPr>
      <w:r w:rsidRPr="00F17930">
        <w:t>4 </w:t>
      </w:r>
      <w:hyperlink r:id="rId22" w:anchor="4-where-to-display-version-numbers" w:history="1">
        <w:r w:rsidRPr="00F17930">
          <w:rPr>
            <w:rStyle w:val="Hipervnculo"/>
          </w:rPr>
          <w:t>Dónde mostrar los números de versión</w:t>
        </w:r>
      </w:hyperlink>
    </w:p>
    <w:p w14:paraId="6CBAD74D" w14:textId="524A9EBC" w:rsidR="00F17930" w:rsidRPr="00F17930" w:rsidRDefault="00F17930" w:rsidP="00F17930">
      <w:pPr>
        <w:numPr>
          <w:ilvl w:val="1"/>
          <w:numId w:val="4"/>
        </w:numPr>
        <w:jc w:val="both"/>
      </w:pPr>
      <w:r w:rsidRPr="00F17930">
        <w:t>4.1 </w:t>
      </w:r>
      <w:hyperlink r:id="rId23" w:anchor="41-url-of-the-taxonomy-files" w:history="1">
        <w:r w:rsidRPr="00F17930">
          <w:rPr>
            <w:rStyle w:val="Hipervnculo"/>
          </w:rPr>
          <w:t>URL de los archivos de taxonomía</w:t>
        </w:r>
      </w:hyperlink>
    </w:p>
    <w:p w14:paraId="56E28C4C" w14:textId="13B86758" w:rsidR="00F17930" w:rsidRPr="00F17930" w:rsidRDefault="00F17930" w:rsidP="00F17930">
      <w:pPr>
        <w:numPr>
          <w:ilvl w:val="1"/>
          <w:numId w:val="4"/>
        </w:numPr>
        <w:jc w:val="both"/>
      </w:pPr>
      <w:r w:rsidRPr="00F17930">
        <w:t>4.2 </w:t>
      </w:r>
      <w:hyperlink r:id="rId24" w:anchor="42-taxonomy-package-metadata" w:history="1">
        <w:r w:rsidRPr="00F17930">
          <w:rPr>
            <w:rStyle w:val="Hipervnculo"/>
          </w:rPr>
          <w:t>Metadatos del paquete de taxonomía</w:t>
        </w:r>
      </w:hyperlink>
    </w:p>
    <w:p w14:paraId="4C2D2C08" w14:textId="246154AA" w:rsidR="00F17930" w:rsidRPr="00F17930" w:rsidRDefault="00F17930" w:rsidP="00F17930">
      <w:pPr>
        <w:numPr>
          <w:ilvl w:val="1"/>
          <w:numId w:val="4"/>
        </w:numPr>
        <w:jc w:val="both"/>
      </w:pPr>
      <w:r w:rsidRPr="00F17930">
        <w:t>4.3 </w:t>
      </w:r>
      <w:hyperlink r:id="rId25" w:anchor="43-the-namespace-of-taxonomy-schemas" w:history="1">
        <w:r w:rsidRPr="00F17930">
          <w:rPr>
            <w:rStyle w:val="Hipervnculo"/>
          </w:rPr>
          <w:t>El espacio de nombres de los esquemas de taxonomía</w:t>
        </w:r>
      </w:hyperlink>
    </w:p>
    <w:p w14:paraId="7BFF025F" w14:textId="44F9D25A" w:rsidR="00F17930" w:rsidRPr="00F17930" w:rsidRDefault="00F17930" w:rsidP="00F17930">
      <w:pPr>
        <w:numPr>
          <w:ilvl w:val="1"/>
          <w:numId w:val="4"/>
        </w:numPr>
        <w:jc w:val="both"/>
      </w:pPr>
      <w:r w:rsidRPr="00F17930">
        <w:t>4.4 </w:t>
      </w:r>
      <w:hyperlink r:id="rId26" w:anchor="44-taxonomy-filename" w:history="1">
        <w:r w:rsidRPr="00F17930">
          <w:rPr>
            <w:rStyle w:val="Hipervnculo"/>
          </w:rPr>
          <w:t>Nombre de archivo de taxonomía</w:t>
        </w:r>
      </w:hyperlink>
    </w:p>
    <w:p w14:paraId="010B040E" w14:textId="3F07A34F" w:rsidR="00F17930" w:rsidRPr="00F17930" w:rsidRDefault="00F17930" w:rsidP="00F17930">
      <w:pPr>
        <w:numPr>
          <w:ilvl w:val="0"/>
          <w:numId w:val="4"/>
        </w:numPr>
        <w:jc w:val="both"/>
      </w:pPr>
      <w:r w:rsidRPr="00F17930">
        <w:t>5 </w:t>
      </w:r>
      <w:hyperlink r:id="rId27" w:anchor="5-managing-versioning-of-files-in-a-modular-taxonomy" w:history="1">
        <w:r w:rsidRPr="00F17930">
          <w:rPr>
            <w:rStyle w:val="Hipervnculo"/>
          </w:rPr>
          <w:t>Gestión de versiones de archivos en una taxonomía modular</w:t>
        </w:r>
      </w:hyperlink>
    </w:p>
    <w:p w14:paraId="1EA74536" w14:textId="2310D4A9" w:rsidR="00F17930" w:rsidRPr="00F17930" w:rsidRDefault="00F17930" w:rsidP="00F17930">
      <w:pPr>
        <w:numPr>
          <w:ilvl w:val="0"/>
          <w:numId w:val="4"/>
        </w:numPr>
        <w:jc w:val="both"/>
      </w:pPr>
      <w:r w:rsidRPr="00F17930">
        <w:t>6 </w:t>
      </w:r>
      <w:hyperlink r:id="rId28" w:anchor="6-planning-taxonomy-releases" w:history="1">
        <w:r w:rsidRPr="00F17930">
          <w:rPr>
            <w:rStyle w:val="Hipervnculo"/>
          </w:rPr>
          <w:t>Planificación de lanzamientos de taxonomías</w:t>
        </w:r>
      </w:hyperlink>
    </w:p>
    <w:p w14:paraId="1216DDF8" w14:textId="57BB0B65" w:rsidR="00F17930" w:rsidRPr="00C65A41" w:rsidRDefault="00F17930" w:rsidP="00F17930">
      <w:pPr>
        <w:numPr>
          <w:ilvl w:val="1"/>
          <w:numId w:val="4"/>
        </w:numPr>
        <w:jc w:val="both"/>
        <w:rPr>
          <w:rStyle w:val="Hipervnculo"/>
          <w:color w:val="auto"/>
          <w:u w:val="none"/>
        </w:rPr>
      </w:pPr>
      <w:r w:rsidRPr="00F17930">
        <w:t>6.1 </w:t>
      </w:r>
      <w:hyperlink r:id="rId29" w:anchor="61-bug-fix-releases" w:history="1">
        <w:r w:rsidRPr="00F17930">
          <w:rPr>
            <w:rStyle w:val="Hipervnculo"/>
          </w:rPr>
          <w:t>Versiones con corrección de errores</w:t>
        </w:r>
      </w:hyperlink>
    </w:p>
    <w:p w14:paraId="490DBE0C" w14:textId="2F40A981" w:rsidR="00C65A41" w:rsidRDefault="00C65A41" w:rsidP="00C65A41">
      <w:pPr>
        <w:jc w:val="both"/>
        <w:rPr>
          <w:rStyle w:val="Hipervnculo"/>
        </w:rPr>
      </w:pPr>
    </w:p>
    <w:p w14:paraId="5EB376DA" w14:textId="77777777" w:rsidR="00C65A41" w:rsidRPr="00F17930" w:rsidRDefault="00C65A41" w:rsidP="00C65A41">
      <w:pPr>
        <w:jc w:val="both"/>
      </w:pPr>
    </w:p>
    <w:p w14:paraId="124E3EA9" w14:textId="5F1CAF19" w:rsidR="00F17930" w:rsidRPr="00F17930" w:rsidRDefault="00F17930" w:rsidP="00F17930">
      <w:pPr>
        <w:jc w:val="both"/>
        <w:rPr>
          <w:b/>
          <w:bCs/>
        </w:rPr>
      </w:pPr>
      <w:r w:rsidRPr="00F17930">
        <w:rPr>
          <w:b/>
          <w:bCs/>
        </w:rPr>
        <w:lastRenderedPageBreak/>
        <w:t>1</w:t>
      </w:r>
      <w:r w:rsidR="00CC71A9">
        <w:rPr>
          <w:b/>
          <w:bCs/>
        </w:rPr>
        <w:t>.</w:t>
      </w:r>
      <w:r w:rsidRPr="00F17930">
        <w:rPr>
          <w:b/>
          <w:bCs/>
        </w:rPr>
        <w:t xml:space="preserve"> Introducción</w:t>
      </w:r>
    </w:p>
    <w:p w14:paraId="5EC6A722" w14:textId="53C182D6" w:rsidR="00F17930" w:rsidRPr="00F17930" w:rsidRDefault="00F17930" w:rsidP="00F17930">
      <w:pPr>
        <w:jc w:val="both"/>
      </w:pPr>
      <w:r w:rsidRPr="00F17930">
        <w:t>En un programa de informes XBRL,</w:t>
      </w:r>
      <w:r w:rsidR="00D547E1">
        <w:t xml:space="preserve"> </w:t>
      </w:r>
      <w:r w:rsidRPr="00F17930">
        <w:t>se publican nuevas</w:t>
      </w:r>
      <w:r w:rsidR="00D547E1">
        <w:t xml:space="preserve"> </w:t>
      </w:r>
      <w:hyperlink r:id="rId30" w:anchor="taxonomy" w:history="1">
        <w:r w:rsidRPr="00F17930">
          <w:rPr>
            <w:rStyle w:val="Hipervnculo"/>
          </w:rPr>
          <w:t>taxonomías para reflejar los cambios en los requisitos técnicos y comerciales. Las publicaciones de taxonomías suelen identificarse por su versión. Esta guía describe las mejores prácticas para gestionar el control de versiones de taxonomías, incluidos los detalles sobre la información que se debe proporcionar. Está dirigida a </w:t>
        </w:r>
      </w:hyperlink>
      <w:hyperlink r:id="rId31" w:anchor="taxonomy-author" w:history="1">
        <w:r w:rsidRPr="00F17930">
          <w:rPr>
            <w:rStyle w:val="Hipervnculo"/>
          </w:rPr>
          <w:t>los autores</w:t>
        </w:r>
      </w:hyperlink>
      <w:r w:rsidR="00D547E1">
        <w:t xml:space="preserve"> </w:t>
      </w:r>
      <w:r w:rsidRPr="00F17930">
        <w:t>y</w:t>
      </w:r>
      <w:r w:rsidR="00D547E1">
        <w:t xml:space="preserve"> </w:t>
      </w:r>
      <w:hyperlink r:id="rId32" w:anchor="taxonomy-architect" w:history="1">
        <w:r w:rsidRPr="00F17930">
          <w:rPr>
            <w:rStyle w:val="Hipervnculo"/>
          </w:rPr>
          <w:t>arquitectos de taxonomías</w:t>
        </w:r>
      </w:hyperlink>
      <w:r w:rsidRPr="00F17930">
        <w:t>. El alcance de esta guía se limita a los mecanismos de control de versiones de taxonomías para su publicación pública.</w:t>
      </w:r>
    </w:p>
    <w:p w14:paraId="06069B5C" w14:textId="71E7A7C9" w:rsidR="00F17930" w:rsidRPr="00F17930" w:rsidRDefault="00F17930" w:rsidP="00F17930">
      <w:pPr>
        <w:jc w:val="both"/>
        <w:rPr>
          <w:b/>
          <w:bCs/>
        </w:rPr>
      </w:pPr>
      <w:r w:rsidRPr="00F17930">
        <w:rPr>
          <w:b/>
          <w:bCs/>
        </w:rPr>
        <w:t>2</w:t>
      </w:r>
      <w:r w:rsidR="00CC71A9">
        <w:rPr>
          <w:b/>
          <w:bCs/>
        </w:rPr>
        <w:t>.</w:t>
      </w:r>
      <w:r w:rsidRPr="00F17930">
        <w:rPr>
          <w:b/>
          <w:bCs/>
        </w:rPr>
        <w:t xml:space="preserve"> Versiones de la taxonomía</w:t>
      </w:r>
    </w:p>
    <w:p w14:paraId="4682C5AE" w14:textId="77777777" w:rsidR="00F17930" w:rsidRPr="00F17930" w:rsidRDefault="00F17930" w:rsidP="00F17930">
      <w:pPr>
        <w:jc w:val="both"/>
      </w:pPr>
      <w:r w:rsidRPr="00F17930">
        <w:t>Las taxonomías se publican como parte de ciclos de actualización regulares o de manera ad hoc para abordar requisitos comerciales, soluciones técnicas o correcciones. No importa cuán pequeño sea, cualquier cambio, incluso un error tipográfico en una etiqueta, se considera una publicación de taxonomía. Es necesario identificar cada publicación de la taxonomía para garantizar de manera única que:</w:t>
      </w:r>
    </w:p>
    <w:p w14:paraId="21E672F6" w14:textId="314890EE" w:rsidR="00F17930" w:rsidRPr="00F17930" w:rsidRDefault="00F17930" w:rsidP="00F17930">
      <w:pPr>
        <w:numPr>
          <w:ilvl w:val="0"/>
          <w:numId w:val="5"/>
        </w:numPr>
        <w:jc w:val="both"/>
      </w:pPr>
      <w:r w:rsidRPr="00F17930">
        <w:t>Los</w:t>
      </w:r>
      <w:r w:rsidR="00D547E1">
        <w:t xml:space="preserve"> </w:t>
      </w:r>
      <w:hyperlink r:id="rId33" w:anchor="xbrl-report" w:history="1">
        <w:r w:rsidRPr="00F17930">
          <w:rPr>
            <w:rStyle w:val="Hipervnculo"/>
          </w:rPr>
          <w:t>informes XBRL</w:t>
        </w:r>
      </w:hyperlink>
      <w:r w:rsidR="00D547E1">
        <w:t xml:space="preserve"> </w:t>
      </w:r>
      <w:r w:rsidRPr="00F17930">
        <w:t>hacen referencia a la versión correcta de la taxonomía y, por lo tanto, pueden interpretarse correctamente;</w:t>
      </w:r>
    </w:p>
    <w:p w14:paraId="20D51D89" w14:textId="252866C6" w:rsidR="00F17930" w:rsidRPr="00F17930" w:rsidRDefault="00F17930" w:rsidP="00F17930">
      <w:pPr>
        <w:numPr>
          <w:ilvl w:val="0"/>
          <w:numId w:val="5"/>
        </w:numPr>
        <w:jc w:val="both"/>
      </w:pPr>
      <w:r w:rsidRPr="00F17930">
        <w:t>Los</w:t>
      </w:r>
      <w:r w:rsidR="00D547E1">
        <w:t xml:space="preserve"> </w:t>
      </w:r>
      <w:hyperlink r:id="rId34" w:anchor="xbrl-report" w:history="1">
        <w:r w:rsidRPr="00F17930">
          <w:rPr>
            <w:rStyle w:val="Hipervnculo"/>
          </w:rPr>
          <w:t>informes XBRL</w:t>
        </w:r>
      </w:hyperlink>
      <w:r w:rsidR="00D547E1">
        <w:t xml:space="preserve"> </w:t>
      </w:r>
      <w:r w:rsidRPr="00F17930">
        <w:t>se evalúan en función de un conjunto adecuado de</w:t>
      </w:r>
      <w:r w:rsidR="00D547E1">
        <w:t xml:space="preserve"> </w:t>
      </w:r>
      <w:hyperlink r:id="rId35" w:anchor="validation-rules" w:history="1">
        <w:r w:rsidRPr="00F17930">
          <w:rPr>
            <w:rStyle w:val="Hipervnculo"/>
          </w:rPr>
          <w:t>reglas de validación</w:t>
        </w:r>
      </w:hyperlink>
      <w:r w:rsidR="00D547E1">
        <w:t xml:space="preserve"> </w:t>
      </w:r>
      <w:r w:rsidRPr="00F17930">
        <w:t>definidas en la taxonomía; por ejemplo, un cambio en la severidad de una regla de validación puede alterar la validación del informe; y</w:t>
      </w:r>
    </w:p>
    <w:p w14:paraId="2ADAE644" w14:textId="77777777" w:rsidR="00F17930" w:rsidRPr="00F17930" w:rsidRDefault="00F17930" w:rsidP="00F17930">
      <w:pPr>
        <w:numPr>
          <w:ilvl w:val="0"/>
          <w:numId w:val="5"/>
        </w:numPr>
        <w:jc w:val="both"/>
      </w:pPr>
      <w:r w:rsidRPr="00F17930">
        <w:t>Se evitan conflictos entre definiciones de diferentes versiones de taxonomía; por ejemplo, es posible que el software no pueda identificar qué versión utilizar cuando no está identificada de forma única.</w:t>
      </w:r>
    </w:p>
    <w:p w14:paraId="2AC07BD9" w14:textId="77777777" w:rsidR="00F17930" w:rsidRPr="00F17930" w:rsidRDefault="00F17930" w:rsidP="00F17930">
      <w:pPr>
        <w:jc w:val="both"/>
      </w:pPr>
      <w:r w:rsidRPr="00F17930">
        <w:t>Las taxonomías se identifican utilizando esquemas de versiones, que se analizan en detalle a continuación.</w:t>
      </w:r>
    </w:p>
    <w:p w14:paraId="355BEFB3" w14:textId="0E51C462" w:rsidR="00F17930" w:rsidRPr="00F17930" w:rsidRDefault="00F17930" w:rsidP="00F17930">
      <w:pPr>
        <w:jc w:val="both"/>
        <w:rPr>
          <w:b/>
          <w:bCs/>
        </w:rPr>
      </w:pPr>
      <w:r w:rsidRPr="00F17930">
        <w:rPr>
          <w:b/>
          <w:bCs/>
        </w:rPr>
        <w:t>3</w:t>
      </w:r>
      <w:r w:rsidR="00CC71A9">
        <w:rPr>
          <w:b/>
          <w:bCs/>
        </w:rPr>
        <w:t>.</w:t>
      </w:r>
      <w:r w:rsidRPr="00F17930">
        <w:rPr>
          <w:b/>
          <w:bCs/>
        </w:rPr>
        <w:t xml:space="preserve"> Esquemas de versiones</w:t>
      </w:r>
    </w:p>
    <w:p w14:paraId="230784E3" w14:textId="77777777" w:rsidR="00F17930" w:rsidRPr="00F17930" w:rsidRDefault="00F17930" w:rsidP="00F17930">
      <w:pPr>
        <w:jc w:val="both"/>
      </w:pPr>
      <w:r w:rsidRPr="00F17930">
        <w:t>El autor de una taxonomía puede elegir entre distintos esquemas de versiones para identificar de forma única cada versión de su taxonomía. Los esquemas de versiones típicos se basan en:</w:t>
      </w:r>
    </w:p>
    <w:p w14:paraId="7281D0A7" w14:textId="77777777" w:rsidR="00F17930" w:rsidRPr="00F17930" w:rsidRDefault="00F17930" w:rsidP="00F17930">
      <w:pPr>
        <w:jc w:val="both"/>
        <w:rPr>
          <w:b/>
          <w:bCs/>
        </w:rPr>
      </w:pPr>
      <w:r w:rsidRPr="00F17930">
        <w:rPr>
          <w:b/>
          <w:bCs/>
        </w:rPr>
        <w:t>3.1 Fechas</w:t>
      </w:r>
    </w:p>
    <w:p w14:paraId="792E8EDA" w14:textId="77777777" w:rsidR="00F17930" w:rsidRPr="00F17930" w:rsidRDefault="00F17930" w:rsidP="00F17930">
      <w:pPr>
        <w:jc w:val="both"/>
      </w:pPr>
      <w:r w:rsidRPr="00F17930">
        <w:t>Las versiones de taxonomía se identifican mediante una fecha o año (normalmente la fecha de publicación).</w:t>
      </w:r>
    </w:p>
    <w:p w14:paraId="0A2B2886" w14:textId="77777777" w:rsidR="00F17930" w:rsidRPr="00F17930" w:rsidRDefault="00F17930" w:rsidP="00F17930">
      <w:pPr>
        <w:numPr>
          <w:ilvl w:val="0"/>
          <w:numId w:val="6"/>
        </w:numPr>
        <w:jc w:val="both"/>
      </w:pPr>
      <w:r w:rsidRPr="00F17930">
        <w:t>Estos esquemas de versiones simples generalmente son fáciles de entender.</w:t>
      </w:r>
    </w:p>
    <w:p w14:paraId="34BE62BD" w14:textId="1412AA07" w:rsidR="00F17930" w:rsidRPr="00F17930" w:rsidRDefault="00F17930" w:rsidP="00F17930">
      <w:pPr>
        <w:numPr>
          <w:ilvl w:val="0"/>
          <w:numId w:val="6"/>
        </w:numPr>
        <w:jc w:val="both"/>
      </w:pPr>
      <w:r w:rsidRPr="00F17930">
        <w:t>La fecha de la versión de la taxonomía puede diferir de la fecha a partir de la cual la taxonomía se vuelve aplicable para la elaboración de informes. La</w:t>
      </w:r>
      <w:r w:rsidR="00D547E1">
        <w:t xml:space="preserve"> </w:t>
      </w:r>
      <w:hyperlink r:id="rId36" w:history="1">
        <w:r w:rsidRPr="00F17930">
          <w:rPr>
            <w:rStyle w:val="Hipervnculo"/>
          </w:rPr>
          <w:t>guía sobre la comunicación de cambios en la taxonomía</w:t>
        </w:r>
      </w:hyperlink>
      <w:r w:rsidR="00D547E1">
        <w:t xml:space="preserve"> </w:t>
      </w:r>
      <w:r w:rsidRPr="00F17930">
        <w:t>recomienda incluir la fecha de entrada en vigor de una taxonomía en el documento de cambio.</w:t>
      </w:r>
    </w:p>
    <w:p w14:paraId="06DEC022" w14:textId="77777777" w:rsidR="00F17930" w:rsidRPr="00F17930" w:rsidRDefault="00F17930" w:rsidP="00F17930">
      <w:pPr>
        <w:numPr>
          <w:ilvl w:val="0"/>
          <w:numId w:val="6"/>
        </w:numPr>
        <w:jc w:val="both"/>
      </w:pPr>
      <w:r w:rsidRPr="00F17930">
        <w:t>Es posible que el control de versiones basado en fechas no pueda capturar otra semántica, como el tipo de lanzamiento (por ejemplo, principal o secundario).</w:t>
      </w:r>
    </w:p>
    <w:p w14:paraId="2A7D992B" w14:textId="6B5BAC1E" w:rsidR="00F17930" w:rsidRPr="00F17930" w:rsidRDefault="00F17930" w:rsidP="00F17930">
      <w:pPr>
        <w:jc w:val="both"/>
      </w:pPr>
      <w:r w:rsidRPr="00F17930">
        <w:lastRenderedPageBreak/>
        <w:t>Por ejemplo, la taxonomía contable anual de las NIIF se identifica por el año de publicación (por ejemplo, "La taxonomía contable de las NIIF 2022"). La taxonomía refleja los requisitos de presentación y revelación de las Normas de Contabilidad de las NIIF al 1 de enero de ese año. Los nombres de las URL de los archivos de la taxonomía reflejan la fecha de publicación, por ejemplo,</w:t>
      </w:r>
      <w:r w:rsidR="00D547E1">
        <w:t xml:space="preserve"> </w:t>
      </w:r>
      <w:hyperlink r:id="rId37" w:history="1">
        <w:r w:rsidR="00D547E1" w:rsidRPr="006D6849">
          <w:rPr>
            <w:rStyle w:val="Hipervnculo"/>
            <w:i/>
            <w:iCs/>
          </w:rPr>
          <w:t>https://xbrl.ifrs.org/taxonomy/2022-03-24/full_ifrs_entry_point_2022-03-24.xsd</w:t>
        </w:r>
      </w:hyperlink>
      <w:r w:rsidR="00D547E1">
        <w:rPr>
          <w:i/>
          <w:iCs/>
        </w:rPr>
        <w:t xml:space="preserve"> </w:t>
      </w:r>
    </w:p>
    <w:p w14:paraId="2F69BEAB" w14:textId="77777777" w:rsidR="00F17930" w:rsidRPr="00F17930" w:rsidRDefault="00F17930" w:rsidP="00F17930">
      <w:pPr>
        <w:jc w:val="both"/>
        <w:rPr>
          <w:b/>
          <w:bCs/>
        </w:rPr>
      </w:pPr>
      <w:r w:rsidRPr="00F17930">
        <w:rPr>
          <w:b/>
          <w:bCs/>
        </w:rPr>
        <w:t>3.2 Números</w:t>
      </w:r>
    </w:p>
    <w:p w14:paraId="06C47ADE" w14:textId="77777777" w:rsidR="00F17930" w:rsidRPr="00F17930" w:rsidRDefault="00F17930" w:rsidP="00F17930">
      <w:pPr>
        <w:jc w:val="both"/>
      </w:pPr>
      <w:r w:rsidRPr="00F17930">
        <w:t>Las versiones de taxonomía se identifican mediante números incrementales.</w:t>
      </w:r>
    </w:p>
    <w:p w14:paraId="3AAA5AD5" w14:textId="77777777" w:rsidR="00F17930" w:rsidRPr="00F17930" w:rsidRDefault="00F17930" w:rsidP="00F17930">
      <w:pPr>
        <w:numPr>
          <w:ilvl w:val="0"/>
          <w:numId w:val="7"/>
        </w:numPr>
        <w:jc w:val="both"/>
      </w:pPr>
      <w:r w:rsidRPr="00F17930">
        <w:t>Los números se dividen en partes para identificar versiones principales y secundarias u otra semántica.</w:t>
      </w:r>
    </w:p>
    <w:p w14:paraId="346B8275" w14:textId="77777777" w:rsidR="00F17930" w:rsidRPr="00F17930" w:rsidRDefault="00F17930" w:rsidP="00F17930">
      <w:pPr>
        <w:numPr>
          <w:ilvl w:val="0"/>
          <w:numId w:val="7"/>
        </w:numPr>
        <w:jc w:val="both"/>
      </w:pPr>
      <w:r w:rsidRPr="00F17930">
        <w:t>La taxonomía alemana E-Bilanz/HGB utiliza un mecanismo de número de versión. Cada año, la publicación de una nueva taxonomía representa un número de versión único. Por ejemplo, "E-Bilanz / HGB-Taxonomie Version 6.5".</w:t>
      </w:r>
    </w:p>
    <w:p w14:paraId="1B789D9F" w14:textId="77777777" w:rsidR="00F17930" w:rsidRPr="00F17930" w:rsidRDefault="00F17930" w:rsidP="00F17930">
      <w:pPr>
        <w:numPr>
          <w:ilvl w:val="0"/>
          <w:numId w:val="7"/>
        </w:numPr>
        <w:jc w:val="both"/>
      </w:pPr>
      <w:r w:rsidRPr="00F17930">
        <w:t>El Banco Central de Rusia utiliza tres números de partes (por ejemplo, 4.3.1) para las versiones de taxonomía para identificar versiones para el ciclo de desarrollo, la estructura del modelo de datos y las reglas comerciales.</w:t>
      </w:r>
    </w:p>
    <w:p w14:paraId="7D438B70" w14:textId="77777777" w:rsidR="00F17930" w:rsidRPr="00F17930" w:rsidRDefault="00F17930" w:rsidP="00F17930">
      <w:pPr>
        <w:jc w:val="both"/>
        <w:rPr>
          <w:b/>
          <w:bCs/>
        </w:rPr>
      </w:pPr>
      <w:r w:rsidRPr="00F17930">
        <w:rPr>
          <w:b/>
          <w:bCs/>
        </w:rPr>
        <w:t>3.3 Combinación</w:t>
      </w:r>
    </w:p>
    <w:p w14:paraId="23494E1C" w14:textId="77777777" w:rsidR="00F17930" w:rsidRPr="00F17930" w:rsidRDefault="00F17930" w:rsidP="00F17930">
      <w:pPr>
        <w:jc w:val="both"/>
      </w:pPr>
      <w:r w:rsidRPr="00F17930">
        <w:t>Las versiones de taxonomía se identifican mediante una combinación de fechas, números o texto estándar (borrador, consulta).</w:t>
      </w:r>
    </w:p>
    <w:p w14:paraId="4E465CEA" w14:textId="77777777" w:rsidR="00F17930" w:rsidRPr="00F17930" w:rsidRDefault="00F17930" w:rsidP="00F17930">
      <w:pPr>
        <w:numPr>
          <w:ilvl w:val="0"/>
          <w:numId w:val="8"/>
        </w:numPr>
        <w:jc w:val="both"/>
      </w:pPr>
      <w:r w:rsidRPr="00F17930">
        <w:t>FRC UK utiliza este esquema en el que una taxonomía actual se identifica como "2022 UKSEF 1.0.0". En este enfoque, hay esquemas de fecha y número de versión.</w:t>
      </w:r>
    </w:p>
    <w:p w14:paraId="7C67678D" w14:textId="77777777" w:rsidR="00F17930" w:rsidRPr="00F17930" w:rsidRDefault="00F17930" w:rsidP="00F17930">
      <w:pPr>
        <w:numPr>
          <w:ilvl w:val="0"/>
          <w:numId w:val="8"/>
        </w:numPr>
        <w:jc w:val="both"/>
      </w:pPr>
      <w:r w:rsidRPr="00F17930">
        <w:t>La taxonomía de la EBA contiene marcos, y cada marco tiene uno o más módulos. El esquema de versiones de estos módulos consta de una parte descriptiva que incluye el propietario, el marco y el nombre y número de la legislación en la que se basa la recopilación de datos, seguido de la fecha de publicación.</w:t>
      </w:r>
    </w:p>
    <w:p w14:paraId="25FC97AB" w14:textId="77777777" w:rsidR="00F17930" w:rsidRPr="00F17930" w:rsidRDefault="00F17930" w:rsidP="00F17930">
      <w:pPr>
        <w:numPr>
          <w:ilvl w:val="1"/>
          <w:numId w:val="9"/>
        </w:numPr>
        <w:jc w:val="both"/>
      </w:pPr>
      <w:r w:rsidRPr="00F17930">
        <w:t>Por ejemplo, los puntos de entrada para tres versiones del módulo de Grandes Exposiciones COREP publicado por la EBA con base en la misma legislación (cir-680-2014), una en 2018 y dos en 2019, se identifican de la siguiente manera</w:t>
      </w:r>
    </w:p>
    <w:p w14:paraId="66532FF2" w14:textId="13156A0C" w:rsidR="00F17930" w:rsidRPr="00F17930" w:rsidRDefault="00D547E1" w:rsidP="00F17930">
      <w:pPr>
        <w:numPr>
          <w:ilvl w:val="1"/>
          <w:numId w:val="9"/>
        </w:numPr>
        <w:jc w:val="both"/>
      </w:pPr>
      <w:hyperlink r:id="rId38" w:history="1">
        <w:r w:rsidRPr="006D6849">
          <w:rPr>
            <w:rStyle w:val="Hipervnculo"/>
            <w:i/>
            <w:iCs/>
          </w:rPr>
          <w:t>http://www.eba.europa.eu/eu/fr/xbrl/crr/fws/corep/cir-680-2014/2018-07-31/mod/corep_le_con.xsd</w:t>
        </w:r>
      </w:hyperlink>
      <w:r>
        <w:rPr>
          <w:i/>
          <w:iCs/>
        </w:rPr>
        <w:t xml:space="preserve"> </w:t>
      </w:r>
    </w:p>
    <w:p w14:paraId="206332EE" w14:textId="5ED3DF03" w:rsidR="00F17930" w:rsidRPr="00F17930" w:rsidRDefault="00D547E1" w:rsidP="00F17930">
      <w:pPr>
        <w:numPr>
          <w:ilvl w:val="1"/>
          <w:numId w:val="9"/>
        </w:numPr>
        <w:jc w:val="both"/>
      </w:pPr>
      <w:hyperlink r:id="rId39" w:history="1">
        <w:r w:rsidRPr="006D6849">
          <w:rPr>
            <w:rStyle w:val="Hipervnculo"/>
            <w:i/>
            <w:iCs/>
          </w:rPr>
          <w:t>http://www.eba.europa.eu/eu/fr/xbrl/crr/fws/corep/cir-680-2014/2019-04-30/mod/corep_le_con.xsd</w:t>
        </w:r>
      </w:hyperlink>
      <w:r>
        <w:rPr>
          <w:i/>
          <w:iCs/>
        </w:rPr>
        <w:t xml:space="preserve"> </w:t>
      </w:r>
    </w:p>
    <w:p w14:paraId="18A58A0A" w14:textId="3C55F5F8" w:rsidR="00F17930" w:rsidRPr="00F17930" w:rsidRDefault="00D547E1" w:rsidP="00F17930">
      <w:pPr>
        <w:numPr>
          <w:ilvl w:val="1"/>
          <w:numId w:val="9"/>
        </w:numPr>
        <w:jc w:val="both"/>
      </w:pPr>
      <w:hyperlink r:id="rId40" w:history="1">
        <w:r w:rsidRPr="006D6849">
          <w:rPr>
            <w:rStyle w:val="Hipervnculo"/>
            <w:i/>
            <w:iCs/>
          </w:rPr>
          <w:t>http://www.eba.europa.eu/eu/fr/xbrl/crr/fws/corep/cir-680-2014/2019-11-15/mod/corep_le_con.xsd</w:t>
        </w:r>
      </w:hyperlink>
      <w:r>
        <w:rPr>
          <w:i/>
          <w:iCs/>
        </w:rPr>
        <w:t xml:space="preserve"> </w:t>
      </w:r>
    </w:p>
    <w:p w14:paraId="21AD503E" w14:textId="77777777" w:rsidR="00F17930" w:rsidRPr="00F17930" w:rsidRDefault="00F17930" w:rsidP="00F17930">
      <w:pPr>
        <w:jc w:val="both"/>
      </w:pPr>
      <w:r w:rsidRPr="00F17930">
        <w:t>Consideraciones para elegir esquemas de versiones</w:t>
      </w:r>
    </w:p>
    <w:p w14:paraId="10EC0D41" w14:textId="77777777" w:rsidR="00F17930" w:rsidRPr="00F17930" w:rsidRDefault="00F17930" w:rsidP="00F17930">
      <w:pPr>
        <w:numPr>
          <w:ilvl w:val="0"/>
          <w:numId w:val="10"/>
        </w:numPr>
        <w:jc w:val="both"/>
      </w:pPr>
      <w:r w:rsidRPr="00F17930">
        <w:t xml:space="preserve">Elija un esquema de control de versiones estrechamente relacionado con el ciclo de publicación de la taxonomía. Por ejemplo, una taxonomía que se planea publicar </w:t>
      </w:r>
      <w:r w:rsidRPr="00F17930">
        <w:lastRenderedPageBreak/>
        <w:t>anualmente puede preferir un control de versiones basado en fechas. Una taxonomía que no tenga publicaciones a intervalos establecidos puede preferir esquemas basados ​​en números.</w:t>
      </w:r>
    </w:p>
    <w:p w14:paraId="4AC528F7" w14:textId="77777777" w:rsidR="00F17930" w:rsidRPr="00F17930" w:rsidRDefault="00F17930" w:rsidP="00F17930">
      <w:pPr>
        <w:numPr>
          <w:ilvl w:val="0"/>
          <w:numId w:val="10"/>
        </w:numPr>
        <w:jc w:val="both"/>
      </w:pPr>
      <w:r w:rsidRPr="00F17930">
        <w:t>Elija un esquema de versiones que pueda seguirse consistentemente para todo tipo de actualizaciones.</w:t>
      </w:r>
    </w:p>
    <w:p w14:paraId="08C167F9" w14:textId="77777777" w:rsidR="00F17930" w:rsidRPr="00F17930" w:rsidRDefault="00F17930" w:rsidP="00F17930">
      <w:pPr>
        <w:numPr>
          <w:ilvl w:val="0"/>
          <w:numId w:val="10"/>
        </w:numPr>
        <w:jc w:val="both"/>
      </w:pPr>
      <w:r w:rsidRPr="00F17930">
        <w:t>Considere cómo indicar las publicaciones de versiones preliminares o de consulta. Por ejemplo, la taxonomía IFRS publicada para consulta se identifica como "Propuesta de actualización 2 de la taxonomía IFRS 2021" y los nombres de archivo de la taxonomía reflejan la fecha de publicación del borrador.</w:t>
      </w:r>
    </w:p>
    <w:p w14:paraId="7EBE5F92" w14:textId="77777777" w:rsidR="00F17930" w:rsidRPr="00F17930" w:rsidRDefault="00F17930" w:rsidP="00F17930">
      <w:pPr>
        <w:numPr>
          <w:ilvl w:val="0"/>
          <w:numId w:val="10"/>
        </w:numPr>
        <w:jc w:val="both"/>
      </w:pPr>
      <w:r w:rsidRPr="00F17930">
        <w:t>Explique la semántica asociada a los esquemas de versiones en el documento de arquitectura de taxonomía.</w:t>
      </w:r>
    </w:p>
    <w:p w14:paraId="68655301" w14:textId="4B1C0DFF" w:rsidR="00F17930" w:rsidRPr="00F17930" w:rsidRDefault="00F17930" w:rsidP="00F17930">
      <w:pPr>
        <w:jc w:val="both"/>
        <w:rPr>
          <w:b/>
          <w:bCs/>
        </w:rPr>
      </w:pPr>
      <w:r w:rsidRPr="00F17930">
        <w:rPr>
          <w:b/>
          <w:bCs/>
        </w:rPr>
        <w:t>4</w:t>
      </w:r>
      <w:r w:rsidR="00CC71A9">
        <w:rPr>
          <w:b/>
          <w:bCs/>
        </w:rPr>
        <w:t>.</w:t>
      </w:r>
      <w:r w:rsidRPr="00F17930">
        <w:rPr>
          <w:b/>
          <w:bCs/>
        </w:rPr>
        <w:t xml:space="preserve"> Dónde mostrar los números de versión</w:t>
      </w:r>
    </w:p>
    <w:p w14:paraId="122E4E05" w14:textId="77777777" w:rsidR="00F17930" w:rsidRPr="00F17930" w:rsidRDefault="00F17930" w:rsidP="00F17930">
      <w:pPr>
        <w:jc w:val="both"/>
      </w:pPr>
      <w:r w:rsidRPr="00F17930">
        <w:t>El identificador de versiones de taxonomía elegido por el autor se refleja en diferentes artefactos de taxonomía.</w:t>
      </w:r>
    </w:p>
    <w:p w14:paraId="1573C493" w14:textId="77777777" w:rsidR="00F17930" w:rsidRPr="00F17930" w:rsidRDefault="00F17930" w:rsidP="00F17930">
      <w:pPr>
        <w:jc w:val="both"/>
        <w:rPr>
          <w:b/>
          <w:bCs/>
        </w:rPr>
      </w:pPr>
      <w:r w:rsidRPr="00F17930">
        <w:rPr>
          <w:b/>
          <w:bCs/>
        </w:rPr>
        <w:t>4.1 URL de los archivos de taxonomía</w:t>
      </w:r>
    </w:p>
    <w:p w14:paraId="1548FC12" w14:textId="77777777" w:rsidR="00F17930" w:rsidRPr="00F17930" w:rsidRDefault="00F17930" w:rsidP="00F17930">
      <w:pPr>
        <w:jc w:val="both"/>
      </w:pPr>
      <w:r w:rsidRPr="00F17930">
        <w:t>La URL de los archivos de taxonomía alojados en su ubicación "oficial" generalmente refleja la versión de la taxonomía. Un ejemplo es la URL de un punto de entrada de taxonomía de IFRS 2021:</w:t>
      </w:r>
    </w:p>
    <w:p w14:paraId="2BFAE8A6" w14:textId="69DE3A70" w:rsidR="00F17930" w:rsidRPr="00F17930" w:rsidRDefault="00D547E1" w:rsidP="00F17930">
      <w:pPr>
        <w:jc w:val="both"/>
      </w:pPr>
      <w:hyperlink r:id="rId41" w:history="1">
        <w:r w:rsidRPr="006D6849">
          <w:rPr>
            <w:rStyle w:val="Hipervnculo"/>
          </w:rPr>
          <w:t>http://xbrl.ifrs.org/taxonomy/2021-03-24/full_ifrs_entry_point_2021-03-24.xsd</w:t>
        </w:r>
      </w:hyperlink>
      <w:r>
        <w:t xml:space="preserve"> </w:t>
      </w:r>
    </w:p>
    <w:p w14:paraId="53BC054A" w14:textId="77777777" w:rsidR="00F17930" w:rsidRPr="00F17930" w:rsidRDefault="00F17930" w:rsidP="00F17930">
      <w:pPr>
        <w:jc w:val="both"/>
      </w:pPr>
      <w:r w:rsidRPr="00F17930">
        <w:t>Esto incluye la fecha de publicación como su identificador de versión. La URL identifica de forma única la taxonomía, por lo que el identificador de versión debe incluirse en la URL.</w:t>
      </w:r>
    </w:p>
    <w:p w14:paraId="6F23D1AE" w14:textId="6219BC47" w:rsidR="00F17930" w:rsidRPr="00F17930" w:rsidRDefault="00F17930" w:rsidP="00F17930">
      <w:pPr>
        <w:jc w:val="both"/>
      </w:pPr>
      <w:r w:rsidRPr="00F17930">
        <w:t>También se debe considerar cómo se reasignan las URL en los paquetes de taxonomía. El identificador de la versión debe estar en el directorio de nivel más alto posible para que las reasignaciones entre paquetes de taxonomía no entren en conflicto. En el caso de las taxonomías modulares en las que los módulos tienen versiones independientes, el identificador de la versión no debe estar en un directorio de nivel superior al identificador del módulo. Obtenga más información sobre la reasignación en la</w:t>
      </w:r>
      <w:r w:rsidR="00D547E1">
        <w:t xml:space="preserve"> </w:t>
      </w:r>
      <w:hyperlink r:id="rId42" w:anchor="32-remapping-of-taxonomy-files" w:history="1">
        <w:r w:rsidRPr="00F17930">
          <w:rPr>
            <w:rStyle w:val="Hipervnculo"/>
          </w:rPr>
          <w:t>guía de paquetes de taxonomía</w:t>
        </w:r>
      </w:hyperlink>
      <w:r w:rsidRPr="00F17930">
        <w:t>.</w:t>
      </w:r>
    </w:p>
    <w:p w14:paraId="4C2FEC55" w14:textId="77777777" w:rsidR="00F17930" w:rsidRPr="00F17930" w:rsidRDefault="00F17930" w:rsidP="00F17930">
      <w:pPr>
        <w:jc w:val="both"/>
        <w:rPr>
          <w:b/>
          <w:bCs/>
        </w:rPr>
      </w:pPr>
      <w:r w:rsidRPr="00F17930">
        <w:rPr>
          <w:b/>
          <w:bCs/>
        </w:rPr>
        <w:t>4.2 Metadatos del paquete de taxonomía</w:t>
      </w:r>
    </w:p>
    <w:p w14:paraId="658A56E9" w14:textId="1C98BAA1" w:rsidR="00F17930" w:rsidRPr="00F17930" w:rsidRDefault="00F17930" w:rsidP="00F17930">
      <w:pPr>
        <w:jc w:val="both"/>
      </w:pPr>
      <w:r w:rsidRPr="00F17930">
        <w:t>El elemento</w:t>
      </w:r>
      <w:r w:rsidR="00D547E1">
        <w:t xml:space="preserve"> </w:t>
      </w:r>
      <w:r w:rsidRPr="00F17930">
        <w:rPr>
          <w:i/>
          <w:iCs/>
        </w:rPr>
        <w:t>de versión</w:t>
      </w:r>
      <w:r w:rsidR="00D547E1">
        <w:t xml:space="preserve"> </w:t>
      </w:r>
      <w:r w:rsidRPr="00F17930">
        <w:t>del paquete de taxonomía se utiliza para identificar la versión de la taxonomía.</w:t>
      </w:r>
    </w:p>
    <w:p w14:paraId="07352747" w14:textId="32A063D3" w:rsidR="00F17930" w:rsidRPr="00F17930" w:rsidRDefault="00F17930" w:rsidP="00F17930">
      <w:pPr>
        <w:jc w:val="both"/>
      </w:pPr>
      <w:r w:rsidRPr="00F17930">
        <w:t>El elemento</w:t>
      </w:r>
      <w:r w:rsidR="00D547E1">
        <w:t xml:space="preserve"> </w:t>
      </w:r>
      <w:r w:rsidRPr="00F17930">
        <w:rPr>
          <w:i/>
          <w:iCs/>
        </w:rPr>
        <w:t>identificador</w:t>
      </w:r>
      <w:r w:rsidR="00D547E1">
        <w:t xml:space="preserve"> </w:t>
      </w:r>
      <w:r w:rsidRPr="00F17930">
        <w:t>del paquete de taxonomía proporciona un URI que debe identificar de forma única el paquete y, por lo tanto, también debe incorporar la versión de la taxonomía.</w:t>
      </w:r>
    </w:p>
    <w:p w14:paraId="1D308139" w14:textId="74B77901" w:rsidR="00F17930" w:rsidRDefault="00F17930" w:rsidP="00F17930">
      <w:pPr>
        <w:jc w:val="both"/>
      </w:pPr>
      <w:r w:rsidRPr="00F17930">
        <w:t>Se deben utilizar ambos elementos para que el usuario pueda comprender fácilmente a qué versión de la taxonomía se refiere un paquete.</w:t>
      </w:r>
    </w:p>
    <w:p w14:paraId="3DAA181F" w14:textId="416C215F" w:rsidR="00CC71A9" w:rsidRDefault="00CC71A9" w:rsidP="00F17930">
      <w:pPr>
        <w:jc w:val="both"/>
      </w:pPr>
    </w:p>
    <w:p w14:paraId="6C49179F" w14:textId="77777777" w:rsidR="00CC71A9" w:rsidRPr="00F17930" w:rsidRDefault="00CC71A9" w:rsidP="00F17930">
      <w:pPr>
        <w:jc w:val="both"/>
      </w:pPr>
    </w:p>
    <w:p w14:paraId="68DA248C" w14:textId="77777777" w:rsidR="00F17930" w:rsidRPr="00F17930" w:rsidRDefault="00F17930" w:rsidP="00F17930">
      <w:pPr>
        <w:jc w:val="both"/>
        <w:rPr>
          <w:b/>
          <w:bCs/>
        </w:rPr>
      </w:pPr>
      <w:r w:rsidRPr="00F17930">
        <w:rPr>
          <w:b/>
          <w:bCs/>
        </w:rPr>
        <w:lastRenderedPageBreak/>
        <w:t>4.3 El espacio de nombres de los esquemas de taxonomía</w:t>
      </w:r>
    </w:p>
    <w:p w14:paraId="13B8FB95" w14:textId="77777777" w:rsidR="00F17930" w:rsidRPr="00F17930" w:rsidRDefault="00F17930" w:rsidP="00F17930">
      <w:pPr>
        <w:jc w:val="both"/>
      </w:pPr>
      <w:r w:rsidRPr="00F17930">
        <w:t>En XBRL, los espacios de nombres se utilizan para eliminar la ambigüedad de los nombres de los elementos de taxonomía definidos en las taxonomías. Esto se debe lograr mediante la inclusión de un identificador de versión en el espacio de nombres del esquema de taxonomía.</w:t>
      </w:r>
    </w:p>
    <w:p w14:paraId="3A984C1C" w14:textId="77777777" w:rsidR="00F17930" w:rsidRPr="00F17930" w:rsidRDefault="00F17930" w:rsidP="00F17930">
      <w:pPr>
        <w:jc w:val="both"/>
        <w:rPr>
          <w:b/>
          <w:bCs/>
        </w:rPr>
      </w:pPr>
      <w:r w:rsidRPr="00F17930">
        <w:rPr>
          <w:b/>
          <w:bCs/>
        </w:rPr>
        <w:t>4.4 Nombre de archivo de taxonomía</w:t>
      </w:r>
    </w:p>
    <w:p w14:paraId="7FACA4DC" w14:textId="3BA90197" w:rsidR="00F17930" w:rsidRPr="00F17930" w:rsidRDefault="00F17930" w:rsidP="00F17930">
      <w:pPr>
        <w:jc w:val="both"/>
      </w:pPr>
      <w:r w:rsidRPr="00F17930">
        <w:t>En algunas taxonomías, los nombres de archivo también pueden contener una versión de la taxonomía. Por ejemplo, el nombre de archivo de uno de los archivos de etiquetas de la taxonomía IFRS 2021 es</w:t>
      </w:r>
      <w:r w:rsidR="00D547E1">
        <w:t xml:space="preserve"> </w:t>
      </w:r>
      <w:r w:rsidRPr="00F17930">
        <w:rPr>
          <w:i/>
          <w:iCs/>
        </w:rPr>
        <w:t>lab_full_ifrs-en_2021-03-24.xml</w:t>
      </w:r>
      <w:r w:rsidRPr="00F17930">
        <w:t>. No es necesario incluir el número de versión en el nombre de archivo para identificar de forma única el archivo, ya que el número de versión también se incluye en la jerarquía de URL, pero repetirlo en el nombre de archivo puede ayudar a los usuarios que trabajan con la taxonomía.</w:t>
      </w:r>
    </w:p>
    <w:p w14:paraId="5A2E7BC4" w14:textId="7FE55F57" w:rsidR="00FB0C15" w:rsidRDefault="00F17930" w:rsidP="001361C3">
      <w:pPr>
        <w:jc w:val="both"/>
      </w:pPr>
      <w:r w:rsidRPr="00F17930">
        <w:rPr>
          <w:noProof/>
        </w:rPr>
        <w:drawing>
          <wp:inline distT="0" distB="0" distL="0" distR="0" wp14:anchorId="3D9BA070" wp14:editId="1666C6CD">
            <wp:extent cx="5382376" cy="1581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382376" cy="1581371"/>
                    </a:xfrm>
                    <a:prstGeom prst="rect">
                      <a:avLst/>
                    </a:prstGeom>
                  </pic:spPr>
                </pic:pic>
              </a:graphicData>
            </a:graphic>
          </wp:inline>
        </w:drawing>
      </w:r>
    </w:p>
    <w:p w14:paraId="3CFEE6C8" w14:textId="18CFBDF7" w:rsidR="00F17930" w:rsidRPr="00F17930" w:rsidRDefault="00F17930" w:rsidP="00F17930">
      <w:pPr>
        <w:jc w:val="both"/>
        <w:rPr>
          <w:b/>
          <w:bCs/>
        </w:rPr>
      </w:pPr>
      <w:r w:rsidRPr="00F17930">
        <w:rPr>
          <w:b/>
          <w:bCs/>
        </w:rPr>
        <w:t>5</w:t>
      </w:r>
      <w:r w:rsidR="00CC71A9">
        <w:rPr>
          <w:b/>
          <w:bCs/>
        </w:rPr>
        <w:t>.</w:t>
      </w:r>
      <w:r w:rsidRPr="00F17930">
        <w:rPr>
          <w:b/>
          <w:bCs/>
        </w:rPr>
        <w:t xml:space="preserve"> Gestión de versiones de archivos en una taxonomía modular</w:t>
      </w:r>
    </w:p>
    <w:p w14:paraId="19E84992" w14:textId="77777777" w:rsidR="00F17930" w:rsidRPr="00F17930" w:rsidRDefault="00F17930" w:rsidP="00F17930">
      <w:pPr>
        <w:jc w:val="both"/>
      </w:pPr>
      <w:r w:rsidRPr="00F17930">
        <w:t>Una taxonomía se puede visualizar como un conjunto de bloques de construcción modulares. No todos los bloques de construcción cambian en cada versión de la taxonomía, por lo que es importante comprender qué módulos necesitan una versión diferente. El enfoque más sencillo es crear versiones de la taxonomía a nivel de paquete, garantizando que todos los módulos de la taxonomía tengan el mismo identificador de versión. En este enfoque, las URL de todos los archivos de taxonomía se actualizan para reflejar la nueva versión en cada versión de la taxonomía.</w:t>
      </w:r>
    </w:p>
    <w:p w14:paraId="7F5B2161" w14:textId="77777777" w:rsidR="00F17930" w:rsidRPr="00F17930" w:rsidRDefault="00F17930" w:rsidP="00F17930">
      <w:pPr>
        <w:jc w:val="both"/>
      </w:pPr>
      <w:r w:rsidRPr="00F17930">
        <w:t>Un enfoque más sofisticado sería crear versiones de la taxonomía a nivel de módulo. Este enfoque requiere un análisis detallado y probablemente solo valga la pena si el ciclo de vida de los módulos es significativamente diferente. Por ejemplo, las taxonomías de EBA y EIOPA contienen marcos que se versionan de forma independiente. Cada paquete de taxonomía publicado contiene solo marcos que han cambiado.</w:t>
      </w:r>
    </w:p>
    <w:p w14:paraId="661C810B" w14:textId="2A6C26EF" w:rsidR="00F17930" w:rsidRPr="00F17930" w:rsidRDefault="00F17930" w:rsidP="00F17930">
      <w:pPr>
        <w:jc w:val="both"/>
        <w:rPr>
          <w:b/>
          <w:bCs/>
        </w:rPr>
      </w:pPr>
      <w:r w:rsidRPr="00F17930">
        <w:rPr>
          <w:b/>
          <w:bCs/>
        </w:rPr>
        <w:t>6</w:t>
      </w:r>
      <w:r w:rsidR="001A1028">
        <w:rPr>
          <w:b/>
          <w:bCs/>
        </w:rPr>
        <w:t>.</w:t>
      </w:r>
      <w:r w:rsidRPr="00F17930">
        <w:rPr>
          <w:b/>
          <w:bCs/>
        </w:rPr>
        <w:t xml:space="preserve"> Planificación de lanzamientos de taxonomías</w:t>
      </w:r>
    </w:p>
    <w:p w14:paraId="6E8F781B" w14:textId="77777777" w:rsidR="00F17930" w:rsidRPr="00F17930" w:rsidRDefault="00F17930" w:rsidP="00F17930">
      <w:pPr>
        <w:jc w:val="both"/>
      </w:pPr>
      <w:r w:rsidRPr="00F17930">
        <w:t>El mantenimiento de la taxonomía incluye la planificación del ciclo de cambio de la taxonomía y la gestión de las versiones. El autor de una taxonomía debe tener en cuenta los siguientes aspectos:</w:t>
      </w:r>
    </w:p>
    <w:p w14:paraId="10FFA058" w14:textId="77777777" w:rsidR="00F17930" w:rsidRPr="00F17930" w:rsidRDefault="00F17930" w:rsidP="00F17930">
      <w:pPr>
        <w:numPr>
          <w:ilvl w:val="0"/>
          <w:numId w:val="11"/>
        </w:numPr>
        <w:jc w:val="both"/>
      </w:pPr>
      <w:r w:rsidRPr="00F17930">
        <w:t>El ciclo de cambio de taxonomía puede ser periódico (las taxonomías se publican a intervalos de tiempo periódicos regulares) o ágil (las taxonomías se publican a medida que se producen los cambios).</w:t>
      </w:r>
    </w:p>
    <w:p w14:paraId="39B6FF40" w14:textId="77777777" w:rsidR="00F17930" w:rsidRPr="00F17930" w:rsidRDefault="00F17930" w:rsidP="00F17930">
      <w:pPr>
        <w:numPr>
          <w:ilvl w:val="0"/>
          <w:numId w:val="11"/>
        </w:numPr>
        <w:jc w:val="both"/>
      </w:pPr>
      <w:r w:rsidRPr="00F17930">
        <w:lastRenderedPageBreak/>
        <w:t>Una consideración importante al decidir el ciclo de cambio de la taxonomía es con qué frecuencia cambian los requisitos de informes subyacentes, con qué frecuencia esos cambios afectan a los usuarios y si los cambios se pueden agrupar para reflejar los cambios periódicos.</w:t>
      </w:r>
    </w:p>
    <w:p w14:paraId="3C6B0554" w14:textId="77777777" w:rsidR="00F17930" w:rsidRPr="00F17930" w:rsidRDefault="00F17930" w:rsidP="00F17930">
      <w:pPr>
        <w:numPr>
          <w:ilvl w:val="0"/>
          <w:numId w:val="11"/>
        </w:numPr>
        <w:jc w:val="both"/>
      </w:pPr>
      <w:r w:rsidRPr="00F17930">
        <w:t>Los cambios periódicos pueden ser preferibles ya que las partes interesadas pueden planificar mejor las actividades de cambio de taxonomía.</w:t>
      </w:r>
    </w:p>
    <w:p w14:paraId="70B84180" w14:textId="77777777" w:rsidR="00F17930" w:rsidRPr="00F17930" w:rsidRDefault="00F17930" w:rsidP="00F17930">
      <w:pPr>
        <w:numPr>
          <w:ilvl w:val="0"/>
          <w:numId w:val="11"/>
        </w:numPr>
        <w:jc w:val="both"/>
      </w:pPr>
      <w:r w:rsidRPr="00F17930">
        <w:t>El autor de la taxonomía debe considerar la duración de la consulta, el flujo de cambio a través del ecosistema y cuánto tiempo lleva esto.</w:t>
      </w:r>
    </w:p>
    <w:p w14:paraId="67B5D178" w14:textId="77777777" w:rsidR="00F17930" w:rsidRPr="00F17930" w:rsidRDefault="00F17930" w:rsidP="00F17930">
      <w:pPr>
        <w:numPr>
          <w:ilvl w:val="1"/>
          <w:numId w:val="12"/>
        </w:numPr>
        <w:jc w:val="both"/>
      </w:pPr>
      <w:r w:rsidRPr="00F17930">
        <w:t>Esta comprensión ayudará a programar la publicación de la taxonomía adecuadamente antes de la fecha necesaria para la presentación del informe.</w:t>
      </w:r>
    </w:p>
    <w:p w14:paraId="4531E01B" w14:textId="77777777" w:rsidR="00F17930" w:rsidRPr="00F17930" w:rsidRDefault="00F17930" w:rsidP="00F17930">
      <w:pPr>
        <w:jc w:val="both"/>
        <w:rPr>
          <w:b/>
          <w:bCs/>
        </w:rPr>
      </w:pPr>
      <w:r w:rsidRPr="00F17930">
        <w:rPr>
          <w:b/>
          <w:bCs/>
        </w:rPr>
        <w:t>6.1 Versiones con corrección de errores</w:t>
      </w:r>
    </w:p>
    <w:p w14:paraId="256F3AC9" w14:textId="77777777" w:rsidR="00F17930" w:rsidRPr="00F17930" w:rsidRDefault="00F17930" w:rsidP="00F17930">
      <w:pPr>
        <w:jc w:val="both"/>
      </w:pPr>
      <w:r w:rsidRPr="00F17930">
        <w:t>Existen situaciones en las que es necesario publicar taxonomías para corregir errores. Estas situaciones pueden ocurrir entre las publicaciones planificadas. Las correcciones de errores en las taxonomías son más fáciles y económicas de implementar antes de que se utilice la taxonomía. Las correcciones de errores en las taxonomías en producción deben tener en cuenta los informes ya enviados al recopilador de datos y planificar si se requiere alguna acción correctiva en relación con los informes ya enviados.</w:t>
      </w:r>
    </w:p>
    <w:p w14:paraId="372EF5BB" w14:textId="77777777" w:rsidR="00F17930" w:rsidRPr="00F17930" w:rsidRDefault="00F17930" w:rsidP="00F17930">
      <w:pPr>
        <w:jc w:val="both"/>
      </w:pPr>
      <w:r w:rsidRPr="00F17930">
        <w:t>Las correcciones de errores a veces se publican como una "revisión urgente" en la que la ubicación oficial de la taxonomía no se modifica, los archivos de taxonomía alojados en su ubicación oficial se reemplazan y se publica un nuevo paquete de taxonomía. Esto se hace generalmente para limitar el esfuerzo de realizar una actualización completa de la versión de la taxonomía. Se debe tener cuidado al realizar una publicación de "revisión urgente" de este tipo porque:</w:t>
      </w:r>
    </w:p>
    <w:p w14:paraId="1F95D011" w14:textId="77777777" w:rsidR="00F17930" w:rsidRPr="00F17930" w:rsidRDefault="00F17930" w:rsidP="00F17930">
      <w:pPr>
        <w:numPr>
          <w:ilvl w:val="0"/>
          <w:numId w:val="13"/>
        </w:numPr>
        <w:jc w:val="both"/>
      </w:pPr>
      <w:r w:rsidRPr="00F17930">
        <w:t>Los informes preparados con versiones de taxonomía anteriores pueden quedar invalidados por los cambios realizados en la revisión.</w:t>
      </w:r>
    </w:p>
    <w:p w14:paraId="515BDA71" w14:textId="77777777" w:rsidR="00F17930" w:rsidRPr="00F17930" w:rsidRDefault="00F17930" w:rsidP="00F17930">
      <w:pPr>
        <w:numPr>
          <w:ilvl w:val="0"/>
          <w:numId w:val="13"/>
        </w:numPr>
        <w:jc w:val="both"/>
      </w:pPr>
      <w:r w:rsidRPr="00F17930">
        <w:t>Los usuarios de taxonomía pueden seguir usando las copias sin conexión de la versión de taxonomía anterior y pueden intentar consumir informes más nuevos que dependan de un paquete más nuevo, lo que genera que se informen errores inesperados.</w:t>
      </w:r>
    </w:p>
    <w:p w14:paraId="4BD7F8B7" w14:textId="16C82F6A" w:rsidR="00F17930" w:rsidRPr="00F17930" w:rsidRDefault="00F17930" w:rsidP="00F17930">
      <w:pPr>
        <w:jc w:val="both"/>
      </w:pPr>
      <w:r w:rsidRPr="00F17930">
        <w:t>Cuando se utilizan versiones de revisión urgente, siempre se les debe asignar un número de versión de taxonomía único. Por ejemplo, se puede utilizar un número de versión de 3 partes: principal</w:t>
      </w:r>
      <w:r w:rsidR="00CC71A9">
        <w:t xml:space="preserve">, </w:t>
      </w:r>
      <w:r w:rsidRPr="00F17930">
        <w:t>secundaria</w:t>
      </w:r>
      <w:r w:rsidR="00CC71A9">
        <w:t xml:space="preserve">, </w:t>
      </w:r>
      <w:r w:rsidRPr="00F17930">
        <w:t>parche (por ejemplo, 1.2.3). La última parte debe ser el "parche" (revisión urgente) y se puede omitir de las URL y los espacios de nombres del archivo de taxonomía. Incluya el número de versión de revisión urgente completo en el identificador del paquete de taxonomía y en los elementos de versión y en la documentación que lo acompaña.</w:t>
      </w:r>
    </w:p>
    <w:p w14:paraId="376D7240" w14:textId="16596791" w:rsidR="00F17930" w:rsidRDefault="00F17930" w:rsidP="00F17930">
      <w:pPr>
        <w:jc w:val="both"/>
      </w:pPr>
      <w:r w:rsidRPr="00F17930">
        <w:t>La comunicación de la versión de la taxonomía debe indicar explícitamente la necesidad de actualizar el software y los sistemas a la última versión de la taxonomía XBRL. Debe haber un registro de cambios para la revisión urgente que explique el motivo del cambio y su impacto. Para obtener instrucciones detalladas sobre cómo comunicar los cambios entre versiones de la taxonomía, consulte el documento de orientación</w:t>
      </w:r>
      <w:r w:rsidR="00D547E1">
        <w:t xml:space="preserve"> </w:t>
      </w:r>
      <w:hyperlink r:id="rId44" w:history="1">
        <w:r w:rsidRPr="00F17930">
          <w:rPr>
            <w:rStyle w:val="Hipervnculo"/>
          </w:rPr>
          <w:t>sobre la comunicación de cambios en la taxonomía</w:t>
        </w:r>
      </w:hyperlink>
    </w:p>
    <w:p w14:paraId="3D112D8A" w14:textId="2B619670" w:rsidR="00F17930" w:rsidRDefault="00F17930" w:rsidP="00F17930">
      <w:pPr>
        <w:jc w:val="both"/>
      </w:pPr>
      <w:r w:rsidRPr="00F17930">
        <w:rPr>
          <w:noProof/>
        </w:rPr>
        <w:lastRenderedPageBreak/>
        <w:drawing>
          <wp:inline distT="0" distB="0" distL="0" distR="0" wp14:anchorId="136FCC95" wp14:editId="43082ADF">
            <wp:extent cx="5353797" cy="3048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53797" cy="3048425"/>
                    </a:xfrm>
                    <a:prstGeom prst="rect">
                      <a:avLst/>
                    </a:prstGeom>
                  </pic:spPr>
                </pic:pic>
              </a:graphicData>
            </a:graphic>
          </wp:inline>
        </w:drawing>
      </w:r>
    </w:p>
    <w:p w14:paraId="55999334" w14:textId="77777777" w:rsidR="00F17930" w:rsidRPr="00F17930" w:rsidRDefault="00F17930" w:rsidP="00F17930">
      <w:pPr>
        <w:jc w:val="both"/>
      </w:pPr>
      <w:r w:rsidRPr="00F17930">
        <w:t>Este documento fue elaborado por el Grupo de trabajo de orientación sobre arquitectura de taxonomía.</w:t>
      </w:r>
    </w:p>
    <w:p w14:paraId="7FB11937" w14:textId="77777777" w:rsidR="00F17930" w:rsidRPr="00F17930" w:rsidRDefault="00F17930" w:rsidP="00F17930">
      <w:pPr>
        <w:jc w:val="both"/>
      </w:pPr>
      <w:r w:rsidRPr="00F17930">
        <w:t>Publicado el 4 de enero de 2023.</w:t>
      </w:r>
    </w:p>
    <w:p w14:paraId="7E1B6190" w14:textId="126F03A5" w:rsidR="00F17930" w:rsidRDefault="00F17930" w:rsidP="00F17930">
      <w:pPr>
        <w:jc w:val="both"/>
      </w:pPr>
      <w:r w:rsidRPr="00F17930">
        <w:rPr>
          <w:noProof/>
        </w:rPr>
        <w:drawing>
          <wp:inline distT="0" distB="0" distL="0" distR="0" wp14:anchorId="7C571905" wp14:editId="1F3A161C">
            <wp:extent cx="5612130" cy="135699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612130" cy="1356995"/>
                    </a:xfrm>
                    <a:prstGeom prst="rect">
                      <a:avLst/>
                    </a:prstGeom>
                  </pic:spPr>
                </pic:pic>
              </a:graphicData>
            </a:graphic>
          </wp:inline>
        </w:drawing>
      </w:r>
    </w:p>
    <w:p w14:paraId="238AD3C7" w14:textId="77777777" w:rsidR="001361C3" w:rsidRDefault="001361C3" w:rsidP="001361C3">
      <w:pPr>
        <w:jc w:val="both"/>
      </w:pPr>
    </w:p>
    <w:sectPr w:rsidR="001361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AF5"/>
    <w:multiLevelType w:val="multilevel"/>
    <w:tmpl w:val="0FF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6C49"/>
    <w:multiLevelType w:val="multilevel"/>
    <w:tmpl w:val="D2664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57BFE"/>
    <w:multiLevelType w:val="multilevel"/>
    <w:tmpl w:val="3DE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048E"/>
    <w:multiLevelType w:val="multilevel"/>
    <w:tmpl w:val="F52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712ED"/>
    <w:multiLevelType w:val="multilevel"/>
    <w:tmpl w:val="998E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611B2"/>
    <w:multiLevelType w:val="multilevel"/>
    <w:tmpl w:val="0A20C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E2476"/>
    <w:multiLevelType w:val="multilevel"/>
    <w:tmpl w:val="DA2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D6DC8"/>
    <w:multiLevelType w:val="multilevel"/>
    <w:tmpl w:val="D356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C050E"/>
    <w:multiLevelType w:val="multilevel"/>
    <w:tmpl w:val="3C9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525B6"/>
    <w:multiLevelType w:val="multilevel"/>
    <w:tmpl w:val="013CB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55D1E"/>
    <w:multiLevelType w:val="multilevel"/>
    <w:tmpl w:val="3F6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9"/>
  </w:num>
  <w:num w:numId="5">
    <w:abstractNumId w:val="8"/>
  </w:num>
  <w:num w:numId="6">
    <w:abstractNumId w:val="7"/>
  </w:num>
  <w:num w:numId="7">
    <w:abstractNumId w:val="0"/>
  </w:num>
  <w:num w:numId="8">
    <w:abstractNumId w:val="5"/>
  </w:num>
  <w:num w:numId="9">
    <w:abstractNumId w:val="5"/>
  </w:num>
  <w:num w:numId="10">
    <w:abstractNumId w:val="4"/>
  </w:num>
  <w:num w:numId="11">
    <w:abstractNumId w:val="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C3"/>
    <w:rsid w:val="001361C3"/>
    <w:rsid w:val="001A1028"/>
    <w:rsid w:val="00BD7A41"/>
    <w:rsid w:val="00C65A41"/>
    <w:rsid w:val="00CC71A9"/>
    <w:rsid w:val="00D547E1"/>
    <w:rsid w:val="00F17930"/>
    <w:rsid w:val="00FB0C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6271"/>
  <w15:chartTrackingRefBased/>
  <w15:docId w15:val="{8155102F-6A7D-410F-99AC-A698630B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61C3"/>
    <w:rPr>
      <w:color w:val="0563C1" w:themeColor="hyperlink"/>
      <w:u w:val="single"/>
    </w:rPr>
  </w:style>
  <w:style w:type="character" w:styleId="Mencinsinresolver">
    <w:name w:val="Unresolved Mention"/>
    <w:basedOn w:val="Fuentedeprrafopredeter"/>
    <w:uiPriority w:val="99"/>
    <w:semiHidden/>
    <w:unhideWhenUsed/>
    <w:rsid w:val="00136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6579">
      <w:bodyDiv w:val="1"/>
      <w:marLeft w:val="0"/>
      <w:marRight w:val="0"/>
      <w:marTop w:val="0"/>
      <w:marBottom w:val="0"/>
      <w:divBdr>
        <w:top w:val="none" w:sz="0" w:space="0" w:color="auto"/>
        <w:left w:val="none" w:sz="0" w:space="0" w:color="auto"/>
        <w:bottom w:val="none" w:sz="0" w:space="0" w:color="auto"/>
        <w:right w:val="none" w:sz="0" w:space="0" w:color="auto"/>
      </w:divBdr>
    </w:div>
    <w:div w:id="128861159">
      <w:bodyDiv w:val="1"/>
      <w:marLeft w:val="0"/>
      <w:marRight w:val="0"/>
      <w:marTop w:val="0"/>
      <w:marBottom w:val="0"/>
      <w:divBdr>
        <w:top w:val="none" w:sz="0" w:space="0" w:color="auto"/>
        <w:left w:val="none" w:sz="0" w:space="0" w:color="auto"/>
        <w:bottom w:val="none" w:sz="0" w:space="0" w:color="auto"/>
        <w:right w:val="none" w:sz="0" w:space="0" w:color="auto"/>
      </w:divBdr>
      <w:divsChild>
        <w:div w:id="1706128878">
          <w:marLeft w:val="0"/>
          <w:marRight w:val="0"/>
          <w:marTop w:val="225"/>
          <w:marBottom w:val="225"/>
          <w:divBdr>
            <w:top w:val="none" w:sz="0" w:space="0" w:color="auto"/>
            <w:left w:val="none" w:sz="0" w:space="0" w:color="auto"/>
            <w:bottom w:val="none" w:sz="0" w:space="0" w:color="auto"/>
            <w:right w:val="none" w:sz="0" w:space="0" w:color="auto"/>
          </w:divBdr>
        </w:div>
        <w:div w:id="361975997">
          <w:marLeft w:val="0"/>
          <w:marRight w:val="0"/>
          <w:marTop w:val="150"/>
          <w:marBottom w:val="75"/>
          <w:divBdr>
            <w:top w:val="none" w:sz="0" w:space="0" w:color="auto"/>
            <w:left w:val="none" w:sz="0" w:space="0" w:color="auto"/>
            <w:bottom w:val="none" w:sz="0" w:space="0" w:color="auto"/>
            <w:right w:val="none" w:sz="0" w:space="0" w:color="auto"/>
          </w:divBdr>
        </w:div>
        <w:div w:id="2061896482">
          <w:marLeft w:val="0"/>
          <w:marRight w:val="0"/>
          <w:marTop w:val="0"/>
          <w:marBottom w:val="0"/>
          <w:divBdr>
            <w:top w:val="none" w:sz="0" w:space="0" w:color="auto"/>
            <w:left w:val="none" w:sz="0" w:space="0" w:color="auto"/>
            <w:bottom w:val="none" w:sz="0" w:space="0" w:color="auto"/>
            <w:right w:val="none" w:sz="0" w:space="0" w:color="auto"/>
          </w:divBdr>
        </w:div>
        <w:div w:id="263926508">
          <w:marLeft w:val="0"/>
          <w:marRight w:val="0"/>
          <w:marTop w:val="210"/>
          <w:marBottom w:val="0"/>
          <w:divBdr>
            <w:top w:val="none" w:sz="0" w:space="0" w:color="auto"/>
            <w:left w:val="none" w:sz="0" w:space="0" w:color="auto"/>
            <w:bottom w:val="none" w:sz="0" w:space="0" w:color="auto"/>
            <w:right w:val="none" w:sz="0" w:space="0" w:color="auto"/>
          </w:divBdr>
        </w:div>
        <w:div w:id="683558340">
          <w:marLeft w:val="0"/>
          <w:marRight w:val="0"/>
          <w:marTop w:val="0"/>
          <w:marBottom w:val="0"/>
          <w:divBdr>
            <w:top w:val="none" w:sz="0" w:space="0" w:color="auto"/>
            <w:left w:val="none" w:sz="0" w:space="0" w:color="auto"/>
            <w:bottom w:val="none" w:sz="0" w:space="0" w:color="auto"/>
            <w:right w:val="none" w:sz="0" w:space="0" w:color="auto"/>
          </w:divBdr>
        </w:div>
        <w:div w:id="1310746501">
          <w:marLeft w:val="0"/>
          <w:marRight w:val="300"/>
          <w:marTop w:val="0"/>
          <w:marBottom w:val="0"/>
          <w:divBdr>
            <w:top w:val="single" w:sz="24" w:space="0" w:color="000000"/>
            <w:left w:val="none" w:sz="0" w:space="0" w:color="auto"/>
            <w:bottom w:val="none" w:sz="0" w:space="0" w:color="auto"/>
            <w:right w:val="none" w:sz="0" w:space="0" w:color="auto"/>
          </w:divBdr>
          <w:divsChild>
            <w:div w:id="1255751226">
              <w:marLeft w:val="0"/>
              <w:marRight w:val="0"/>
              <w:marTop w:val="0"/>
              <w:marBottom w:val="0"/>
              <w:divBdr>
                <w:top w:val="none" w:sz="0" w:space="0" w:color="auto"/>
                <w:left w:val="none" w:sz="0" w:space="0" w:color="auto"/>
                <w:bottom w:val="none" w:sz="0" w:space="0" w:color="auto"/>
                <w:right w:val="none" w:sz="0" w:space="0" w:color="auto"/>
              </w:divBdr>
              <w:divsChild>
                <w:div w:id="1587417244">
                  <w:marLeft w:val="0"/>
                  <w:marRight w:val="0"/>
                  <w:marTop w:val="0"/>
                  <w:marBottom w:val="0"/>
                  <w:divBdr>
                    <w:top w:val="none" w:sz="0" w:space="0" w:color="auto"/>
                    <w:left w:val="none" w:sz="0" w:space="0" w:color="auto"/>
                    <w:bottom w:val="none" w:sz="0" w:space="0" w:color="auto"/>
                    <w:right w:val="none" w:sz="0" w:space="0" w:color="auto"/>
                  </w:divBdr>
                  <w:divsChild>
                    <w:div w:id="1217156328">
                      <w:marLeft w:val="0"/>
                      <w:marRight w:val="0"/>
                      <w:marTop w:val="0"/>
                      <w:marBottom w:val="240"/>
                      <w:divBdr>
                        <w:top w:val="none" w:sz="0" w:space="0" w:color="auto"/>
                        <w:left w:val="none" w:sz="0" w:space="0" w:color="auto"/>
                        <w:bottom w:val="none" w:sz="0" w:space="0" w:color="auto"/>
                        <w:right w:val="none" w:sz="0" w:space="0" w:color="auto"/>
                      </w:divBdr>
                      <w:divsChild>
                        <w:div w:id="2035380465">
                          <w:marLeft w:val="0"/>
                          <w:marRight w:val="0"/>
                          <w:marTop w:val="0"/>
                          <w:marBottom w:val="240"/>
                          <w:divBdr>
                            <w:top w:val="none" w:sz="0" w:space="0" w:color="auto"/>
                            <w:left w:val="none" w:sz="0" w:space="0" w:color="auto"/>
                            <w:bottom w:val="dashed" w:sz="12" w:space="12" w:color="CCCCCC"/>
                            <w:right w:val="none" w:sz="0" w:space="0" w:color="auto"/>
                          </w:divBdr>
                          <w:divsChild>
                            <w:div w:id="1680697552">
                              <w:marLeft w:val="0"/>
                              <w:marRight w:val="0"/>
                              <w:marTop w:val="0"/>
                              <w:marBottom w:val="0"/>
                              <w:divBdr>
                                <w:top w:val="none" w:sz="0" w:space="0" w:color="auto"/>
                                <w:left w:val="none" w:sz="0" w:space="0" w:color="auto"/>
                                <w:bottom w:val="none" w:sz="0" w:space="0" w:color="auto"/>
                                <w:right w:val="none" w:sz="0" w:space="0" w:color="auto"/>
                              </w:divBdr>
                            </w:div>
                            <w:div w:id="236864116">
                              <w:marLeft w:val="0"/>
                              <w:marRight w:val="0"/>
                              <w:marTop w:val="0"/>
                              <w:marBottom w:val="0"/>
                              <w:divBdr>
                                <w:top w:val="none" w:sz="0" w:space="0" w:color="auto"/>
                                <w:left w:val="none" w:sz="0" w:space="0" w:color="auto"/>
                                <w:bottom w:val="none" w:sz="0" w:space="0" w:color="auto"/>
                                <w:right w:val="none" w:sz="0" w:space="0" w:color="auto"/>
                              </w:divBdr>
                            </w:div>
                          </w:divsChild>
                        </w:div>
                        <w:div w:id="418789706">
                          <w:marLeft w:val="0"/>
                          <w:marRight w:val="0"/>
                          <w:marTop w:val="240"/>
                          <w:marBottom w:val="240"/>
                          <w:divBdr>
                            <w:top w:val="none" w:sz="0" w:space="0" w:color="auto"/>
                            <w:left w:val="none" w:sz="0" w:space="0" w:color="auto"/>
                            <w:bottom w:val="dashed" w:sz="12" w:space="12" w:color="CCCCCC"/>
                            <w:right w:val="none" w:sz="0" w:space="0" w:color="auto"/>
                          </w:divBdr>
                        </w:div>
                      </w:divsChild>
                    </w:div>
                  </w:divsChild>
                </w:div>
              </w:divsChild>
            </w:div>
          </w:divsChild>
        </w:div>
      </w:divsChild>
    </w:div>
    <w:div w:id="1133450944">
      <w:bodyDiv w:val="1"/>
      <w:marLeft w:val="0"/>
      <w:marRight w:val="0"/>
      <w:marTop w:val="0"/>
      <w:marBottom w:val="0"/>
      <w:divBdr>
        <w:top w:val="none" w:sz="0" w:space="0" w:color="auto"/>
        <w:left w:val="none" w:sz="0" w:space="0" w:color="auto"/>
        <w:bottom w:val="none" w:sz="0" w:space="0" w:color="auto"/>
        <w:right w:val="none" w:sz="0" w:space="0" w:color="auto"/>
      </w:divBdr>
    </w:div>
    <w:div w:id="1814524704">
      <w:bodyDiv w:val="1"/>
      <w:marLeft w:val="0"/>
      <w:marRight w:val="0"/>
      <w:marTop w:val="0"/>
      <w:marBottom w:val="0"/>
      <w:divBdr>
        <w:top w:val="none" w:sz="0" w:space="0" w:color="auto"/>
        <w:left w:val="none" w:sz="0" w:space="0" w:color="auto"/>
        <w:bottom w:val="none" w:sz="0" w:space="0" w:color="auto"/>
        <w:right w:val="none" w:sz="0" w:space="0" w:color="auto"/>
      </w:divBdr>
      <w:divsChild>
        <w:div w:id="857935953">
          <w:marLeft w:val="0"/>
          <w:marRight w:val="0"/>
          <w:marTop w:val="0"/>
          <w:marBottom w:val="0"/>
          <w:divBdr>
            <w:top w:val="none" w:sz="0" w:space="0" w:color="auto"/>
            <w:left w:val="none" w:sz="0" w:space="0" w:color="auto"/>
            <w:bottom w:val="none" w:sz="0" w:space="0" w:color="auto"/>
            <w:right w:val="none" w:sz="0" w:space="0" w:color="auto"/>
          </w:divBdr>
        </w:div>
        <w:div w:id="57438803">
          <w:marLeft w:val="0"/>
          <w:marRight w:val="0"/>
          <w:marTop w:val="300"/>
          <w:marBottom w:val="300"/>
          <w:divBdr>
            <w:top w:val="none" w:sz="0" w:space="0" w:color="auto"/>
            <w:left w:val="none" w:sz="0" w:space="0" w:color="auto"/>
            <w:bottom w:val="none" w:sz="0" w:space="0" w:color="auto"/>
            <w:right w:val="none" w:sz="0" w:space="0" w:color="auto"/>
          </w:divBdr>
        </w:div>
        <w:div w:id="161508419">
          <w:marLeft w:val="0"/>
          <w:marRight w:val="0"/>
          <w:marTop w:val="600"/>
          <w:marBottom w:val="0"/>
          <w:divBdr>
            <w:top w:val="none" w:sz="0" w:space="0" w:color="auto"/>
            <w:left w:val="none" w:sz="0" w:space="0" w:color="auto"/>
            <w:bottom w:val="none" w:sz="0" w:space="0" w:color="auto"/>
            <w:right w:val="none" w:sz="0" w:space="0" w:color="auto"/>
          </w:divBdr>
          <w:divsChild>
            <w:div w:id="8461880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2117094777">
      <w:bodyDiv w:val="1"/>
      <w:marLeft w:val="0"/>
      <w:marRight w:val="0"/>
      <w:marTop w:val="0"/>
      <w:marBottom w:val="0"/>
      <w:divBdr>
        <w:top w:val="none" w:sz="0" w:space="0" w:color="auto"/>
        <w:left w:val="none" w:sz="0" w:space="0" w:color="auto"/>
        <w:bottom w:val="none" w:sz="0" w:space="0" w:color="auto"/>
        <w:right w:val="none" w:sz="0" w:space="0" w:color="auto"/>
      </w:divBdr>
    </w:div>
    <w:div w:id="2130472044">
      <w:bodyDiv w:val="1"/>
      <w:marLeft w:val="0"/>
      <w:marRight w:val="0"/>
      <w:marTop w:val="0"/>
      <w:marBottom w:val="0"/>
      <w:divBdr>
        <w:top w:val="none" w:sz="0" w:space="0" w:color="auto"/>
        <w:left w:val="none" w:sz="0" w:space="0" w:color="auto"/>
        <w:bottom w:val="none" w:sz="0" w:space="0" w:color="auto"/>
        <w:right w:val="none" w:sz="0" w:space="0" w:color="auto"/>
      </w:divBdr>
      <w:divsChild>
        <w:div w:id="308746929">
          <w:marLeft w:val="0"/>
          <w:marRight w:val="0"/>
          <w:marTop w:val="0"/>
          <w:marBottom w:val="0"/>
          <w:divBdr>
            <w:top w:val="none" w:sz="0" w:space="0" w:color="auto"/>
            <w:left w:val="none" w:sz="0" w:space="0" w:color="auto"/>
            <w:bottom w:val="none" w:sz="0" w:space="0" w:color="auto"/>
            <w:right w:val="none" w:sz="0" w:space="0" w:color="auto"/>
          </w:divBdr>
        </w:div>
        <w:div w:id="44377641">
          <w:marLeft w:val="0"/>
          <w:marRight w:val="0"/>
          <w:marTop w:val="300"/>
          <w:marBottom w:val="300"/>
          <w:divBdr>
            <w:top w:val="none" w:sz="0" w:space="0" w:color="auto"/>
            <w:left w:val="none" w:sz="0" w:space="0" w:color="auto"/>
            <w:bottom w:val="none" w:sz="0" w:space="0" w:color="auto"/>
            <w:right w:val="none" w:sz="0" w:space="0" w:color="auto"/>
          </w:divBdr>
        </w:div>
        <w:div w:id="639581959">
          <w:marLeft w:val="0"/>
          <w:marRight w:val="0"/>
          <w:marTop w:val="600"/>
          <w:marBottom w:val="0"/>
          <w:divBdr>
            <w:top w:val="none" w:sz="0" w:space="0" w:color="auto"/>
            <w:left w:val="none" w:sz="0" w:space="0" w:color="auto"/>
            <w:bottom w:val="none" w:sz="0" w:space="0" w:color="auto"/>
            <w:right w:val="none" w:sz="0" w:space="0" w:color="auto"/>
          </w:divBdr>
          <w:divsChild>
            <w:div w:id="25166367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xbrl.org/" TargetMode="External"/><Relationship Id="rId18" Type="http://schemas.openxmlformats.org/officeDocument/2006/relationships/hyperlink" Target="https://www.xbrl.org/guidance/manage-taxonomy-versioning/" TargetMode="External"/><Relationship Id="rId26" Type="http://schemas.openxmlformats.org/officeDocument/2006/relationships/hyperlink" Target="https://www.xbrl.org/guidance/manage-taxonomy-versioning/" TargetMode="External"/><Relationship Id="rId39" Type="http://schemas.openxmlformats.org/officeDocument/2006/relationships/hyperlink" Target="http://www.eba.europa.eu/eu/fr/xbrl/crr/fws/corep/cir-680-2014/2019-04-30/mod/corep_le_con.xsd" TargetMode="External"/><Relationship Id="rId21" Type="http://schemas.openxmlformats.org/officeDocument/2006/relationships/hyperlink" Target="https://www.xbrl.org/guidance/manage-taxonomy-versioning/" TargetMode="External"/><Relationship Id="rId34" Type="http://schemas.openxmlformats.org/officeDocument/2006/relationships/hyperlink" Target="https://www.xbrl.org/guidance/xbrl-glossary/" TargetMode="External"/><Relationship Id="rId42" Type="http://schemas.openxmlformats.org/officeDocument/2006/relationships/hyperlink" Target="https://www.xbrl.org/guidance/taxonomy-publication/" TargetMode="External"/><Relationship Id="rId47" Type="http://schemas.openxmlformats.org/officeDocument/2006/relationships/fontTable" Target="fontTable.xml"/><Relationship Id="rId7" Type="http://schemas.openxmlformats.org/officeDocument/2006/relationships/hyperlink" Target="https://www.youtube.com/watch?v=ciclDYycseE&amp;ab_channel=XBRLInternational" TargetMode="External"/><Relationship Id="rId2" Type="http://schemas.openxmlformats.org/officeDocument/2006/relationships/styles" Target="styles.xml"/><Relationship Id="rId16" Type="http://schemas.openxmlformats.org/officeDocument/2006/relationships/hyperlink" Target="https://www.xbrl.org/guidance/manage-taxonomy-versioning/" TargetMode="External"/><Relationship Id="rId29" Type="http://schemas.openxmlformats.org/officeDocument/2006/relationships/hyperlink" Target="https://www.xbrl.org/guidance/manage-taxonomy-versioning/" TargetMode="External"/><Relationship Id="rId1" Type="http://schemas.openxmlformats.org/officeDocument/2006/relationships/numbering" Target="numbering.xml"/><Relationship Id="rId6" Type="http://schemas.openxmlformats.org/officeDocument/2006/relationships/hyperlink" Target="https://www.xbrl.org/news/xbrl-directions-webinar-dives-into-taxonomy-versioning/" TargetMode="External"/><Relationship Id="rId11" Type="http://schemas.openxmlformats.org/officeDocument/2006/relationships/hyperlink" Target="https://www.xbrl.org/tag/taxonomy/" TargetMode="External"/><Relationship Id="rId24" Type="http://schemas.openxmlformats.org/officeDocument/2006/relationships/hyperlink" Target="https://www.xbrl.org/guidance/manage-taxonomy-versioning/" TargetMode="External"/><Relationship Id="rId32" Type="http://schemas.openxmlformats.org/officeDocument/2006/relationships/hyperlink" Target="https://www.xbrl.org/guidance/xbrl-glossary/" TargetMode="External"/><Relationship Id="rId37" Type="http://schemas.openxmlformats.org/officeDocument/2006/relationships/hyperlink" Target="https://xbrl.ifrs.org/taxonomy/2022-03-24/full_ifrs_entry_point_2022-03-24.xsd" TargetMode="External"/><Relationship Id="rId40" Type="http://schemas.openxmlformats.org/officeDocument/2006/relationships/hyperlink" Target="http://www.eba.europa.eu/eu/fr/xbrl/crr/fws/corep/cir-680-2014/2019-11-15/mod/corep_le_con.xsd" TargetMode="External"/><Relationship Id="rId45"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mailto:tagtf-feedback@xbrl.org" TargetMode="External"/><Relationship Id="rId23" Type="http://schemas.openxmlformats.org/officeDocument/2006/relationships/hyperlink" Target="https://www.xbrl.org/guidance/manage-taxonomy-versioning/" TargetMode="External"/><Relationship Id="rId28" Type="http://schemas.openxmlformats.org/officeDocument/2006/relationships/hyperlink" Target="https://www.xbrl.org/guidance/manage-taxonomy-versioning/" TargetMode="External"/><Relationship Id="rId36" Type="http://schemas.openxmlformats.org/officeDocument/2006/relationships/hyperlink" Target="https://www.xbrl.org/guidance/communicate-taxonomy-changes/" TargetMode="External"/><Relationship Id="rId10" Type="http://schemas.openxmlformats.org/officeDocument/2006/relationships/hyperlink" Target="https://www.xbrl.org/tag/versioning/" TargetMode="External"/><Relationship Id="rId19" Type="http://schemas.openxmlformats.org/officeDocument/2006/relationships/hyperlink" Target="https://www.xbrl.org/guidance/manage-taxonomy-versioning/" TargetMode="External"/><Relationship Id="rId31" Type="http://schemas.openxmlformats.org/officeDocument/2006/relationships/hyperlink" Target="https://www.xbrl.org/guidance/xbrl-glossary/" TargetMode="External"/><Relationship Id="rId44" Type="http://schemas.openxmlformats.org/officeDocument/2006/relationships/hyperlink" Target="https://www.xbrl.org/guidance/communicate-taxonomy-changes/" TargetMode="External"/><Relationship Id="rId4" Type="http://schemas.openxmlformats.org/officeDocument/2006/relationships/webSettings" Target="webSettings.xml"/><Relationship Id="rId9" Type="http://schemas.openxmlformats.org/officeDocument/2006/relationships/hyperlink" Target="https://www.xbrl.org/tag/webinar/" TargetMode="External"/><Relationship Id="rId14" Type="http://schemas.openxmlformats.org/officeDocument/2006/relationships/image" Target="media/image2.png"/><Relationship Id="rId22" Type="http://schemas.openxmlformats.org/officeDocument/2006/relationships/hyperlink" Target="https://www.xbrl.org/guidance/manage-taxonomy-versioning/" TargetMode="External"/><Relationship Id="rId27" Type="http://schemas.openxmlformats.org/officeDocument/2006/relationships/hyperlink" Target="https://www.xbrl.org/guidance/manage-taxonomy-versioning/" TargetMode="External"/><Relationship Id="rId30" Type="http://schemas.openxmlformats.org/officeDocument/2006/relationships/hyperlink" Target="https://www.xbrl.org/guidance/xbrl-glossary/" TargetMode="External"/><Relationship Id="rId35" Type="http://schemas.openxmlformats.org/officeDocument/2006/relationships/hyperlink" Target="https://www.xbrl.org/guidance/xbrl-glossary/"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hyperlink" Target="https://www.xbrl.org/guidance/manage-taxonomy-versioning/" TargetMode="External"/><Relationship Id="rId3" Type="http://schemas.openxmlformats.org/officeDocument/2006/relationships/settings" Target="settings.xml"/><Relationship Id="rId12" Type="http://schemas.openxmlformats.org/officeDocument/2006/relationships/hyperlink" Target="https://www.xbrl.org/tag/xii/" TargetMode="External"/><Relationship Id="rId17" Type="http://schemas.openxmlformats.org/officeDocument/2006/relationships/hyperlink" Target="https://www.xbrl.org/guidance/manage-taxonomy-versioning/" TargetMode="External"/><Relationship Id="rId25" Type="http://schemas.openxmlformats.org/officeDocument/2006/relationships/hyperlink" Target="https://www.xbrl.org/guidance/manage-taxonomy-versioning/" TargetMode="External"/><Relationship Id="rId33" Type="http://schemas.openxmlformats.org/officeDocument/2006/relationships/hyperlink" Target="https://www.xbrl.org/guidance/xbrl-glossary/" TargetMode="External"/><Relationship Id="rId38" Type="http://schemas.openxmlformats.org/officeDocument/2006/relationships/hyperlink" Target="http://www.eba.europa.eu/eu/fr/xbrl/crr/fws/corep/cir-680-2014/2018-07-31/mod/corep_le_con.xsd" TargetMode="External"/><Relationship Id="rId46" Type="http://schemas.openxmlformats.org/officeDocument/2006/relationships/image" Target="media/image5.png"/><Relationship Id="rId20" Type="http://schemas.openxmlformats.org/officeDocument/2006/relationships/hyperlink" Target="https://www.xbrl.org/guidance/manage-taxonomy-versioning/" TargetMode="External"/><Relationship Id="rId41" Type="http://schemas.openxmlformats.org/officeDocument/2006/relationships/hyperlink" Target="http://xbrl.ifrs.org/taxonomy/2021-03-24/full_ifrs_entry_point_2021-03-24.xs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2820</Words>
  <Characters>15510</Characters>
  <Application>Microsoft Office Word</Application>
  <DocSecurity>0</DocSecurity>
  <Lines>129</Lines>
  <Paragraphs>36</Paragraphs>
  <ScaleCrop>false</ScaleCrop>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2024-10-08T05:06:00Z</dcterms:created>
  <dcterms:modified xsi:type="dcterms:W3CDTF">2024-10-22T04:02:00Z</dcterms:modified>
</cp:coreProperties>
</file>