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6C4F1" w14:textId="5ACCDA7E" w:rsidR="005C51FB" w:rsidRPr="00A877B9" w:rsidRDefault="00A877B9" w:rsidP="00A877B9">
      <w:pPr>
        <w:jc w:val="both"/>
        <w:rPr>
          <w:rFonts w:ascii="Abadi" w:hAnsi="Abadi"/>
          <w:sz w:val="28"/>
          <w:szCs w:val="28"/>
        </w:rPr>
      </w:pPr>
      <w:r w:rsidRPr="00A877B9">
        <w:rPr>
          <w:rFonts w:ascii="Abadi" w:hAnsi="Abadi"/>
          <w:sz w:val="28"/>
          <w:szCs w:val="28"/>
        </w:rPr>
        <w:t>Innovación en activos digitales en el sistema financiero y la banca</w:t>
      </w:r>
    </w:p>
    <w:p w14:paraId="554E881F" w14:textId="2F589113" w:rsidR="00A877B9" w:rsidRDefault="007276E6" w:rsidP="00BE7A8E">
      <w:pPr>
        <w:spacing w:after="0"/>
        <w:jc w:val="both"/>
      </w:pPr>
      <w:r w:rsidRPr="007276E6">
        <w:rPr>
          <w:noProof/>
        </w:rPr>
        <w:drawing>
          <wp:inline distT="0" distB="0" distL="0" distR="0" wp14:anchorId="38F366C1" wp14:editId="6CB9CF74">
            <wp:extent cx="2410161" cy="211484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10161" cy="2114845"/>
                    </a:xfrm>
                    <a:prstGeom prst="rect">
                      <a:avLst/>
                    </a:prstGeom>
                  </pic:spPr>
                </pic:pic>
              </a:graphicData>
            </a:graphic>
          </wp:inline>
        </w:drawing>
      </w:r>
    </w:p>
    <w:p w14:paraId="34FC7938" w14:textId="77777777" w:rsidR="00BE7A8E" w:rsidRDefault="00BE7A8E" w:rsidP="00BE7A8E">
      <w:pPr>
        <w:spacing w:after="0"/>
        <w:jc w:val="both"/>
      </w:pPr>
      <w:r>
        <w:t>Por: Sasha Mills</w:t>
      </w:r>
    </w:p>
    <w:p w14:paraId="54C3234C" w14:textId="77777777" w:rsidR="00BE7A8E" w:rsidRDefault="00BE7A8E" w:rsidP="00BE7A8E">
      <w:pPr>
        <w:spacing w:after="0"/>
        <w:jc w:val="both"/>
      </w:pPr>
      <w:r>
        <w:t>Directora Ejecutiva, Infraestructura del Mercado Financiero</w:t>
      </w:r>
    </w:p>
    <w:p w14:paraId="5D2DFF29" w14:textId="77777777" w:rsidR="00BE7A8E" w:rsidRDefault="00BE7A8E" w:rsidP="00BE7A8E">
      <w:pPr>
        <w:jc w:val="both"/>
      </w:pPr>
      <w:r>
        <w:t>Presentado en la semana de los activos digitales</w:t>
      </w:r>
    </w:p>
    <w:p w14:paraId="07AF7C65" w14:textId="77777777" w:rsidR="00A877B9" w:rsidRPr="00A877B9" w:rsidRDefault="00A877B9" w:rsidP="00A877B9">
      <w:pPr>
        <w:jc w:val="both"/>
      </w:pPr>
      <w:r w:rsidRPr="00A877B9">
        <w:t>Publicado el 02 de octubre de 2024</w:t>
      </w:r>
    </w:p>
    <w:p w14:paraId="7243D760" w14:textId="77777777" w:rsidR="00A877B9" w:rsidRPr="00A877B9" w:rsidRDefault="00A877B9" w:rsidP="00A877B9">
      <w:pPr>
        <w:jc w:val="both"/>
      </w:pPr>
      <w:r w:rsidRPr="00A877B9">
        <w:t>En su discurso, Sasha Mills habla de cómo las recientes innovaciones en activos y pagos digitales plantean oportunidades y riesgos para el Banco en el cumplimiento de sus objetivos de estabilidad monetaria y financiera. Sasha destaca el trabajo reciente del Banco en materia de innovación, incluido nuestro Documento de debate sobre nuestro enfoque de innovación en dinero y pagos, el lanzamiento de nuestro Digital Securities Sandbox y experimentos sobre pagos mayoristas.</w:t>
      </w:r>
    </w:p>
    <w:p w14:paraId="2FAA6FEB" w14:textId="77777777" w:rsidR="00A877B9" w:rsidRPr="00BE7A8E" w:rsidRDefault="00A877B9" w:rsidP="00A877B9">
      <w:pPr>
        <w:jc w:val="both"/>
        <w:rPr>
          <w:rFonts w:ascii="Abadi" w:hAnsi="Abadi"/>
          <w:color w:val="000066"/>
        </w:rPr>
      </w:pPr>
      <w:r w:rsidRPr="00BE7A8E">
        <w:rPr>
          <w:rFonts w:ascii="Abadi" w:hAnsi="Abadi"/>
          <w:color w:val="000066"/>
        </w:rPr>
        <w:t>Discurso</w:t>
      </w:r>
    </w:p>
    <w:p w14:paraId="38944F88" w14:textId="77777777" w:rsidR="00A877B9" w:rsidRPr="00BE7A8E" w:rsidRDefault="00A877B9" w:rsidP="00A877B9">
      <w:pPr>
        <w:jc w:val="both"/>
        <w:rPr>
          <w:rFonts w:ascii="Abadi" w:hAnsi="Abadi"/>
          <w:color w:val="000066"/>
          <w:sz w:val="24"/>
          <w:szCs w:val="24"/>
        </w:rPr>
      </w:pPr>
      <w:r w:rsidRPr="00BE7A8E">
        <w:rPr>
          <w:rFonts w:ascii="Abadi" w:hAnsi="Abadi"/>
          <w:color w:val="000066"/>
          <w:sz w:val="24"/>
          <w:szCs w:val="24"/>
        </w:rPr>
        <w:t>Observaciones introductorias</w:t>
      </w:r>
    </w:p>
    <w:p w14:paraId="2CBBE0FC" w14:textId="77777777" w:rsidR="00A877B9" w:rsidRPr="00A877B9" w:rsidRDefault="00A877B9" w:rsidP="00A877B9">
      <w:pPr>
        <w:jc w:val="both"/>
      </w:pPr>
      <w:r w:rsidRPr="00A877B9">
        <w:t>Buenos días. Es un placer para mí tener la oportunidad de hablarles hoy sobre las innovaciones en el uso de activos digitales en todo el sistema financiero y sobre cómo estamos ayudando a facilitar algunas de esas innovaciones en el Banco de Inglaterra.</w:t>
      </w:r>
    </w:p>
    <w:p w14:paraId="3EB2EF73" w14:textId="07FD5EB7" w:rsidR="00A877B9" w:rsidRPr="00A877B9" w:rsidRDefault="00A877B9" w:rsidP="00A877B9">
      <w:pPr>
        <w:jc w:val="both"/>
      </w:pPr>
      <w:r w:rsidRPr="00A877B9">
        <w:t xml:space="preserve">Me complace especialmente hablar con todos ustedes en la Semana de Activos Digitales en Londres, donde veremos de primera mano cómo la City, como centro financiero global, continúa trabajando con el vibrante sector </w:t>
      </w:r>
      <w:r w:rsidR="00BE7A8E" w:rsidRPr="00A877B9">
        <w:t>Fintech</w:t>
      </w:r>
      <w:r w:rsidRPr="00A877B9">
        <w:t xml:space="preserve"> del Reino Unido para apoyar el crecimiento en todo el país.</w:t>
      </w:r>
    </w:p>
    <w:p w14:paraId="7198E8B0" w14:textId="77777777" w:rsidR="00A877B9" w:rsidRPr="00A877B9" w:rsidRDefault="00A877B9" w:rsidP="00A877B9">
      <w:pPr>
        <w:jc w:val="both"/>
      </w:pPr>
      <w:r w:rsidRPr="00A877B9">
        <w:t>Las innovaciones en materia de activos y pagos digitales son inseparables de los objetivos que buscamos alcanzar como banco central del Reino Unido. Presentan oportunidades y riesgos para el cumplimiento de nuestros objetivos de estabilidad monetaria y financiera; de hecho, son fundamentales y afectan al núcleo de la confianza en el dinero. Comprender estas innovaciones, prepararse para ellas y apoyar su adopción de manera segura, lo que incluye garantizar un entorno de pagos que mantenga la unicidad del dinero, es el núcleo mismo de nuestro trabajo en el Banco.</w:t>
      </w:r>
    </w:p>
    <w:p w14:paraId="1223A6F2" w14:textId="77777777" w:rsidR="00A877B9" w:rsidRPr="00A877B9" w:rsidRDefault="00A877B9" w:rsidP="00A877B9">
      <w:pPr>
        <w:jc w:val="both"/>
      </w:pPr>
      <w:r w:rsidRPr="00A877B9">
        <w:t>Se está realizando una enorme cantidad de trabajo en la industria en torno a la adopción de activos digitales; a menos que estemos atentos a este trabajo, la velocidad a la que ciertos mercados y actividades se vuelven sistémicos puede superar la capacidad de los responsables de las políticas para construir infraestructuras y marcos para responder.</w:t>
      </w:r>
    </w:p>
    <w:p w14:paraId="7CC840E4" w14:textId="77777777" w:rsidR="00A877B9" w:rsidRPr="00A877B9" w:rsidRDefault="00A877B9" w:rsidP="00A877B9">
      <w:pPr>
        <w:jc w:val="both"/>
      </w:pPr>
      <w:r w:rsidRPr="00A877B9">
        <w:lastRenderedPageBreak/>
        <w:t>Facilitar las innovaciones en activos y pagos digitales de forma segura requiere adaptarse a panoramas cambiantes, en particular a las tecnologías que permiten el intercambio y la liquidación de activos, y a cómo se utiliza el dinero en un sistema financiero cada vez más digital.</w:t>
      </w:r>
    </w:p>
    <w:p w14:paraId="296E66C3" w14:textId="6A27A434" w:rsidR="00A877B9" w:rsidRPr="00A877B9" w:rsidRDefault="00A877B9" w:rsidP="00A877B9">
      <w:pPr>
        <w:jc w:val="both"/>
      </w:pPr>
      <w:r w:rsidRPr="00A877B9">
        <w:t>Exponemos nuestro enfoque sobre la innovación en dinero y pagos en un documento de debate durante el verano.</w:t>
      </w:r>
      <w:hyperlink r:id="rId6" w:anchor="footnote-2" w:history="1">
        <w:r w:rsidRPr="00BE7A8E">
          <w:rPr>
            <w:rStyle w:val="Hipervnculo"/>
          </w:rPr>
          <w:t>[1]</w:t>
        </w:r>
      </w:hyperlink>
      <w:r w:rsidRPr="00BE7A8E">
        <w:t> </w:t>
      </w:r>
      <w:r w:rsidRPr="00A877B9">
        <w:t>Quisiera destacar algunas áreas específicas en las que el Banco se centra en facilitar la innovación en activos y pagos digitales, de un modo que sea coherente con nuestros objetivos de proteger y mejorar la estabilidad monetaria y financiera del Reino Unido.</w:t>
      </w:r>
    </w:p>
    <w:p w14:paraId="0B690B1A" w14:textId="1D90EDC8" w:rsidR="00A877B9" w:rsidRPr="00A877B9" w:rsidRDefault="00A877B9" w:rsidP="00A877B9">
      <w:pPr>
        <w:jc w:val="both"/>
      </w:pPr>
      <w:r w:rsidRPr="00A877B9">
        <w:t>Me centraré en nuestro Sandbox de Valores Digitales,</w:t>
      </w:r>
      <w:hyperlink r:id="rId7" w:anchor="footnote-3" w:history="1">
        <w:r w:rsidRPr="00BE7A8E">
          <w:rPr>
            <w:rStyle w:val="Hipervnculo"/>
          </w:rPr>
          <w:t>[2]</w:t>
        </w:r>
      </w:hyperlink>
      <w:r w:rsidRPr="00A877B9">
        <w:t> que se abrió para solicitudes a principios de esta semana, antes de pasar a las innovaciones en pagos mayoristas en general.</w:t>
      </w:r>
    </w:p>
    <w:p w14:paraId="57DBAA21" w14:textId="77777777" w:rsidR="00A877B9" w:rsidRPr="00BE7A8E" w:rsidRDefault="00A877B9" w:rsidP="00A877B9">
      <w:pPr>
        <w:jc w:val="both"/>
        <w:rPr>
          <w:rFonts w:ascii="Abadi" w:hAnsi="Abadi"/>
          <w:color w:val="000066"/>
          <w:sz w:val="24"/>
          <w:szCs w:val="24"/>
        </w:rPr>
      </w:pPr>
      <w:r w:rsidRPr="00BE7A8E">
        <w:rPr>
          <w:rFonts w:ascii="Abadi" w:hAnsi="Abadi"/>
          <w:color w:val="000066"/>
          <w:sz w:val="24"/>
          <w:szCs w:val="24"/>
        </w:rPr>
        <w:t>El Sandbox de los valores digitales</w:t>
      </w:r>
    </w:p>
    <w:p w14:paraId="211A8AFB" w14:textId="77777777" w:rsidR="00A877B9" w:rsidRPr="00A877B9" w:rsidRDefault="00A877B9" w:rsidP="00A877B9">
      <w:pPr>
        <w:jc w:val="both"/>
      </w:pPr>
      <w:r w:rsidRPr="00A877B9">
        <w:t>El Sandbox de Valores Digitales, o DSS, es una interesante iniciativa conjunta entre el Banco y la Autoridad de Conducta Financiera destinada a apoyar la aplicación de nuevas tecnologías, incluidas aquellas que respaldan activos digitales como registros distribuidos programables, para promover la innovación en los mercados financieros.</w:t>
      </w:r>
    </w:p>
    <w:p w14:paraId="1252949B" w14:textId="77777777" w:rsidR="00A877B9" w:rsidRPr="00A877B9" w:rsidRDefault="00A877B9" w:rsidP="00A877B9">
      <w:pPr>
        <w:jc w:val="both"/>
      </w:pPr>
      <w:r w:rsidRPr="00A877B9">
        <w:t>Cuando la gente me pregunta cómo los gobiernos y los reguladores pueden seguir el ritmo vertiginoso de la innovación en la industria en torno a los activos digitales, inmediatamente pienso en el DSS.</w:t>
      </w:r>
    </w:p>
    <w:p w14:paraId="051BB47C" w14:textId="77777777" w:rsidR="00A877B9" w:rsidRPr="00A877B9" w:rsidRDefault="00A877B9" w:rsidP="00A877B9">
      <w:pPr>
        <w:jc w:val="both"/>
      </w:pPr>
      <w:r w:rsidRPr="00A877B9">
        <w:t>Una de las áreas de innovación más interesantes en el ámbito financiero es la forma en que se registran y comercializan los activos. Si bien las criptomonedas sin respaldo acaparan los titulares, para mí los avances en las tecnologías subyacentes, incluidas las cadenas de bloques y los registros programables, pueden ser lo que tenga un impacto positivo duradero en el apoyo a los mercados financieros y el crecimiento.</w:t>
      </w:r>
    </w:p>
    <w:p w14:paraId="12E7B90A" w14:textId="77777777" w:rsidR="00A877B9" w:rsidRPr="00A877B9" w:rsidRDefault="00A877B9" w:rsidP="00A877B9">
      <w:pPr>
        <w:jc w:val="both"/>
      </w:pPr>
      <w:r w:rsidRPr="00A877B9">
        <w:t>El DSS proporcionará un entorno en vivo regulado para que los innovadores creen y comercialicen valores digitales, de modo que las oportunidades creadas por esta innovación puedan maximizarse de una manera que mantenga seguro nuestro sistema financiero.</w:t>
      </w:r>
    </w:p>
    <w:p w14:paraId="5EB26CC1" w14:textId="77777777" w:rsidR="00A877B9" w:rsidRPr="00A877B9" w:rsidRDefault="00A877B9" w:rsidP="00A877B9">
      <w:pPr>
        <w:jc w:val="both"/>
      </w:pPr>
      <w:r w:rsidRPr="00A877B9">
        <w:t>Aprovechar las nuevas tecnologías podría tener grandes beneficios para el sistema financiero. En un mundo tokenizado, las empresas trabajan en la práctica con los mismos datos. Esta estandarización, sumada al uso de registros compartidos, podría mejorar la eficiencia de los procesos de conciliación, negociación y liquidación e introducir más automatización, reduciendo errores y costos.</w:t>
      </w:r>
    </w:p>
    <w:p w14:paraId="7E0303D2" w14:textId="77777777" w:rsidR="00A877B9" w:rsidRPr="00A877B9" w:rsidRDefault="00A877B9" w:rsidP="00A877B9">
      <w:pPr>
        <w:jc w:val="both"/>
      </w:pPr>
      <w:r w:rsidRPr="00A877B9">
        <w:t>Esta nueva tecnología también podría crear oportunidades para que se negocie y utilice una gama más amplia de clases de activos que las que vemos hoy, mejorando así la liquidez general del mercado. Esta tecnología también permite fraccionar los activos.</w:t>
      </w:r>
    </w:p>
    <w:p w14:paraId="54B69C14" w14:textId="77777777" w:rsidR="00A877B9" w:rsidRPr="00A877B9" w:rsidRDefault="00A877B9" w:rsidP="00A877B9">
      <w:pPr>
        <w:jc w:val="both"/>
      </w:pPr>
      <w:r w:rsidRPr="00A877B9">
        <w:t>Pequeñas ganancias de eficiencia pueden sumarse para generar grandes beneficios en conjunto; al hacer que las cosas sean más rápidas, más baratas y más sencillas, estos cambios podrían ayudar a los participantes del mercado financiero, como los fondos de pensiones o las empresas que utilizan los mercados de capital para financiar inversiones.</w:t>
      </w:r>
    </w:p>
    <w:p w14:paraId="7C8E90CA" w14:textId="77777777" w:rsidR="00A877B9" w:rsidRPr="00A877B9" w:rsidRDefault="00A877B9" w:rsidP="00A877B9">
      <w:pPr>
        <w:jc w:val="both"/>
      </w:pPr>
      <w:r w:rsidRPr="00A877B9">
        <w:t xml:space="preserve">Pero esos beneficios potenciales solo se pueden materializar si la tecnología se implementa de manera segura. La aplicación de registros programables en finanzas es todavía relativamente nueva, </w:t>
      </w:r>
      <w:r w:rsidRPr="00A877B9">
        <w:lastRenderedPageBreak/>
        <w:t>por lo que implementarla en mercados financieros críticos podría ser riesgoso. Por eso, el DSS tendrá varias etapas, con límites que se ajustarán a medida que las empresas cumplan con estándares más altos de resiliencia; escuchamos los comentarios de la industria al desarrollar estas etapas y límites, y estamos ansiosos por seguir trabajando con la industria en la creación de un régimen que respalde la innovación segura y sostenible.</w:t>
      </w:r>
    </w:p>
    <w:p w14:paraId="04559A4F" w14:textId="77777777" w:rsidR="00A877B9" w:rsidRPr="00A877B9" w:rsidRDefault="00A877B9" w:rsidP="00A877B9">
      <w:pPr>
        <w:jc w:val="both"/>
      </w:pPr>
      <w:r w:rsidRPr="00A877B9">
        <w:t>También respondimos a los comentarios de la industria ampliando el DSS para incluir valores no denominados en libras esterlinas. Esto permite que el DSS se adapte mejor al mercado de valores del Reino Unido, donde las empresas suelen emitir deuda en múltiples monedas en lugar de solo en libras esterlinas.</w:t>
      </w:r>
    </w:p>
    <w:p w14:paraId="630D852A" w14:textId="77777777" w:rsidR="00A877B9" w:rsidRPr="00A877B9" w:rsidRDefault="00A877B9" w:rsidP="00A877B9">
      <w:pPr>
        <w:jc w:val="both"/>
      </w:pPr>
      <w:r w:rsidRPr="00A877B9">
        <w:t>El DSS representa un paso importante en la exploración de la innovación en activos digitales en el Reino Unido y podría conducir a formas más rápidas y económicas para que estos valores se negocien, se liquiden y se utilicen entre los participantes del mercado financiero.</w:t>
      </w:r>
    </w:p>
    <w:p w14:paraId="18BA8C81" w14:textId="77777777" w:rsidR="00A877B9" w:rsidRPr="00A877B9" w:rsidRDefault="00A877B9" w:rsidP="00A877B9">
      <w:pPr>
        <w:jc w:val="both"/>
      </w:pPr>
      <w:r w:rsidRPr="00A877B9">
        <w:t>Los valores digitales emitidos a través del DSS ofrecen un caso de prueba para explorar formas de pago que puedan interactuar con plataformas de valores programables. A su debido tiempo, podrían respaldar nuevos modelos de liquidación en dinero del banco central, un tema al que volveré en breve.</w:t>
      </w:r>
    </w:p>
    <w:p w14:paraId="47ACE816" w14:textId="77777777" w:rsidR="00A877B9" w:rsidRPr="00A877B9" w:rsidRDefault="00A877B9" w:rsidP="00A877B9">
      <w:pPr>
        <w:jc w:val="both"/>
      </w:pPr>
      <w:r w:rsidRPr="00A877B9">
        <w:t>El desarrollo de la regulación en un entorno de pruebas es una novedad para el Banco. Brinda una oportunidad única de probar y adaptar el marco regulatorio a medida que aprendemos de los innovadores que prueban diferentes modelos de negocios en el entorno de pruebas. Con eso en mente, el DSS da la bienvenida tanto a las empresas emergentes como a las firmas financieras existentes.</w:t>
      </w:r>
    </w:p>
    <w:p w14:paraId="4F5068CF" w14:textId="5BFED9E3" w:rsidR="00A877B9" w:rsidRDefault="00A877B9" w:rsidP="00A877B9">
      <w:pPr>
        <w:jc w:val="both"/>
      </w:pPr>
      <w:r w:rsidRPr="00A877B9">
        <w:t>Adoptar este enfoque significa que es posible dar forma a un nuevo régimen regulatorio permanente que sea favorable a la innovación, proporcionado y adecuado al propósito, sin comprometer la estabilidad monetaria o financiera.</w:t>
      </w:r>
    </w:p>
    <w:p w14:paraId="5AD1BEB7" w14:textId="77777777" w:rsidR="00A877B9" w:rsidRPr="00BE7A8E" w:rsidRDefault="00A877B9" w:rsidP="00A877B9">
      <w:pPr>
        <w:jc w:val="both"/>
        <w:rPr>
          <w:rFonts w:ascii="Abadi" w:hAnsi="Abadi"/>
          <w:color w:val="000066"/>
          <w:sz w:val="24"/>
          <w:szCs w:val="24"/>
        </w:rPr>
      </w:pPr>
      <w:r w:rsidRPr="00BE7A8E">
        <w:rPr>
          <w:rFonts w:ascii="Abadi" w:hAnsi="Abadi"/>
          <w:color w:val="000066"/>
          <w:sz w:val="24"/>
          <w:szCs w:val="24"/>
        </w:rPr>
        <w:t>Innovación en pagos mayoristas</w:t>
      </w:r>
    </w:p>
    <w:p w14:paraId="3B8E5370" w14:textId="77777777" w:rsidR="00A877B9" w:rsidRPr="00A877B9" w:rsidRDefault="00A877B9" w:rsidP="00A877B9">
      <w:pPr>
        <w:jc w:val="both"/>
      </w:pPr>
      <w:r w:rsidRPr="00A877B9">
        <w:t>Por supuesto, los activos digitales necesitan un activo de liquidación compatible. Teniendo esto en cuenta, en los últimos años el Banco ha llevado a cabo una serie de iniciativas, además del DSS, en respuesta a las innovaciones en el panorama de los pagos y la liquidación mayoristas.</w:t>
      </w:r>
    </w:p>
    <w:p w14:paraId="5E23CB2C" w14:textId="3FA1F2E5" w:rsidR="00A877B9" w:rsidRPr="00A877B9" w:rsidRDefault="00A877B9" w:rsidP="00A877B9">
      <w:pPr>
        <w:jc w:val="both"/>
      </w:pPr>
      <w:r w:rsidRPr="00A877B9">
        <w:t>Estamos mejorando nuestra capacidad de suministrar dinero del banco central para liquidación a gran escala a través de un programa plurianual para ofrecer un servicio RTGS renovado. Como parte de esto, el Banco también ha introducido Cuentas Ómnibus que facilitan la liquidación con respaldo en dinero del banco central para transacciones con activos tokenizados, lo que garantiza que el beneficio de la tokenización se pueda materializar en toda la transacción.</w:t>
      </w:r>
      <w:hyperlink r:id="rId8" w:anchor="footnote-4" w:history="1">
        <w:r w:rsidRPr="00BE7A8E">
          <w:rPr>
            <w:rStyle w:val="Hipervnculo"/>
          </w:rPr>
          <w:t>[3]</w:t>
        </w:r>
      </w:hyperlink>
    </w:p>
    <w:p w14:paraId="1E364EDF" w14:textId="77777777" w:rsidR="00A877B9" w:rsidRPr="00A877B9" w:rsidRDefault="00A877B9" w:rsidP="00A877B9">
      <w:pPr>
        <w:jc w:val="both"/>
      </w:pPr>
      <w:r w:rsidRPr="00A877B9">
        <w:t>Ya he señalado que también hemos expuesto nuestro enfoque de la innovación en el ámbito del dinero y los pagos en un documento de debate que publicamos durante el verano. Consideramos que se trata del comienzo de una conversación importante con la industria, en lugar de que el Banco exponga su visión final sobre todo lo relacionado con la innovación. Queremos que la industria participe con nosotros en este tema y valoramos sus comentarios a medida que seguimos desarrollando nuestro enfoque de la innovación en este ámbito.</w:t>
      </w:r>
    </w:p>
    <w:p w14:paraId="247C8C77" w14:textId="77777777" w:rsidR="00A877B9" w:rsidRPr="00A877B9" w:rsidRDefault="00A877B9" w:rsidP="00A877B9">
      <w:pPr>
        <w:jc w:val="both"/>
      </w:pPr>
      <w:r w:rsidRPr="00A877B9">
        <w:lastRenderedPageBreak/>
        <w:t>En cuanto al futuro, tenemos claro que la confianza en la tecnología subyacente que se utiliza para transferir dinero es inseparable de la confianza en el dinero mismo. Si el dinero del banco central no puede interactuar con las nuevas tecnologías, podría existir el riesgo de que la actividad de liquidación mayorista de alto valor se traslade del dinero del banco central a los activos de liquidación privados, lo que debilitaría la estabilidad financiera.</w:t>
      </w:r>
    </w:p>
    <w:p w14:paraId="592587B2" w14:textId="77777777" w:rsidR="00A877B9" w:rsidRPr="00A877B9" w:rsidRDefault="00A877B9" w:rsidP="00A877B9">
      <w:pPr>
        <w:jc w:val="both"/>
      </w:pPr>
      <w:r w:rsidRPr="00A877B9">
        <w:t>Para que el dinero cumpla sus funciones, debe mantener una característica que lo diferencie de cualquier otro activo: está respaldado por una promesa del Estado. Tenemos un apetito de riesgo bajo para un cambio significativo de la liquidación mayorista en dinero del banco central hacia activos de liquidación privados (como el uso de monedas estables para transacciones mayoristas), porque la liquidación en dinero del banco central es el ancla de regreso al Estado. Es por eso que estamos explorando opciones para mejorar la capacidad de liquidar transacciones mayoristas tokenizadas en dinero del banco central.</w:t>
      </w:r>
    </w:p>
    <w:p w14:paraId="0FD3A909" w14:textId="60FEF425" w:rsidR="00A877B9" w:rsidRPr="00A877B9" w:rsidRDefault="00A877B9" w:rsidP="00A877B9">
      <w:pPr>
        <w:jc w:val="both"/>
      </w:pPr>
      <w:r w:rsidRPr="00A877B9">
        <w:t>Con esto en mente, hemos desarrollado nuestra hoja de ruta para el cambio futuro en el sistema RTGS renovado con una estrecha colaboración con la industria.</w:t>
      </w:r>
      <w:hyperlink r:id="rId9" w:anchor="footnote-5" w:history="1">
        <w:r w:rsidRPr="00BE7A8E">
          <w:rPr>
            <w:rStyle w:val="Hipervnculo"/>
          </w:rPr>
          <w:t>[4]</w:t>
        </w:r>
      </w:hyperlink>
      <w:r w:rsidRPr="00A877B9">
        <w:t> Las características principales de esta hoja de ruta incluyen el establecimiento de nuestros planes a largo plazo para extender las horas de liquidación de RTGS y construir una nueva interfaz de sincronización que permita que nuevas infraestructuras de pago innovadoras coordinen los movimientos en registros externos programables con liquidaciones en dinero del banco central.</w:t>
      </w:r>
    </w:p>
    <w:p w14:paraId="46086AED" w14:textId="77777777" w:rsidR="00A877B9" w:rsidRPr="00A877B9" w:rsidRDefault="00A877B9" w:rsidP="00A877B9">
      <w:pPr>
        <w:jc w:val="both"/>
      </w:pPr>
      <w:r w:rsidRPr="00A877B9">
        <w:t>También estamos considerando cómo el dinero del banco central podría interactuar con los registros programables mediante el uso de una moneda digital del banco central mayorista (wCBDC).</w:t>
      </w:r>
    </w:p>
    <w:p w14:paraId="4BFAE9D4" w14:textId="77777777" w:rsidR="00A877B9" w:rsidRPr="00A877B9" w:rsidRDefault="00A877B9" w:rsidP="00A877B9">
      <w:pPr>
        <w:jc w:val="both"/>
      </w:pPr>
      <w:r w:rsidRPr="00A877B9">
        <w:t>Debemos considerar los roles respectivos que estas innovaciones podrían desempeñar en el conjunto de herramientas del Banco; con esto en mente, el Banco está trabajando en un programa de experimentos para probar los casos de uso, las funcionalidades y los diseños prospectivos tanto de wCBDC como de la sincronización, y sus méritos relativos.</w:t>
      </w:r>
    </w:p>
    <w:p w14:paraId="73E93AC9" w14:textId="77777777" w:rsidR="00A877B9" w:rsidRPr="00BE7A8E" w:rsidRDefault="00A877B9" w:rsidP="00A877B9">
      <w:pPr>
        <w:jc w:val="both"/>
        <w:rPr>
          <w:rFonts w:ascii="Abadi" w:hAnsi="Abadi"/>
          <w:color w:val="000066"/>
          <w:sz w:val="24"/>
          <w:szCs w:val="24"/>
        </w:rPr>
      </w:pPr>
      <w:r w:rsidRPr="00BE7A8E">
        <w:rPr>
          <w:rFonts w:ascii="Abadi" w:hAnsi="Abadi"/>
          <w:color w:val="000066"/>
          <w:sz w:val="24"/>
          <w:szCs w:val="24"/>
        </w:rPr>
        <w:t>Observaciones finales</w:t>
      </w:r>
    </w:p>
    <w:p w14:paraId="558129E1" w14:textId="77777777" w:rsidR="00A877B9" w:rsidRPr="00A877B9" w:rsidRDefault="00A877B9" w:rsidP="00A877B9">
      <w:pPr>
        <w:jc w:val="both"/>
      </w:pPr>
      <w:r w:rsidRPr="00A877B9">
        <w:t>En conclusión, el Banco de Inglaterra existe para promover el bienestar de los ciudadanos del Reino Unido manteniendo la estabilidad monetaria y financiera. Las innovaciones en activos y pagos digitales pueden ayudarnos a alcanzar estos objetivos.</w:t>
      </w:r>
    </w:p>
    <w:p w14:paraId="57307620" w14:textId="77777777" w:rsidR="00A877B9" w:rsidRPr="00A877B9" w:rsidRDefault="00A877B9" w:rsidP="00A877B9">
      <w:pPr>
        <w:jc w:val="both"/>
      </w:pPr>
      <w:r w:rsidRPr="00A877B9">
        <w:t>Pero debemos ser conscientes de los riesgos. Estamos centrados en facilitar la innovación que nos ayude a cumplir nuestros objetivos mediante el avance del trabajo que he destacado hoy. La participación de la industria en el lanzamiento de nuestro Sandbox de valores digitales, la renovación de RTGS, nuestro enfoque de innovación en dinero y pagos, y la experimentación sobre el mejor enfoque para facilitar la innovación en los pagos mayoristas, serán cruciales para lograrlo y garantizar que aprendamos junto con la industria en el futuro. Gracias.</w:t>
      </w:r>
    </w:p>
    <w:p w14:paraId="79309E36" w14:textId="572168C8" w:rsidR="00A877B9" w:rsidRDefault="00A877B9" w:rsidP="00A877B9">
      <w:pPr>
        <w:jc w:val="both"/>
      </w:pPr>
      <w:r w:rsidRPr="00A877B9">
        <w:t>Me gustaría agradecer a Shane Scott, Alex Gee, Kushal Balluck, Emma Butterworth, Andrew Bailey, Harsh Mehta, Sarah Breeden, Michael Yoganayagam y Nina Turnbull por su ayuda en la preparación de estos comentarios.</w:t>
      </w:r>
    </w:p>
    <w:p w14:paraId="37BD9E8B" w14:textId="007804D4" w:rsidR="00203BCB" w:rsidRDefault="00203BCB" w:rsidP="00A877B9">
      <w:pPr>
        <w:jc w:val="both"/>
      </w:pPr>
    </w:p>
    <w:p w14:paraId="59326FBB" w14:textId="77777777" w:rsidR="00A877B9" w:rsidRPr="00BE7A8E" w:rsidRDefault="00203BCB" w:rsidP="00A877B9">
      <w:pPr>
        <w:numPr>
          <w:ilvl w:val="0"/>
          <w:numId w:val="1"/>
        </w:numPr>
        <w:jc w:val="both"/>
      </w:pPr>
      <w:hyperlink r:id="rId10" w:history="1">
        <w:r w:rsidR="00A877B9" w:rsidRPr="00BE7A8E">
          <w:rPr>
            <w:rStyle w:val="Hipervnculo"/>
          </w:rPr>
          <w:t>El enfoque del Banco de Inglaterra hacia la innovación en el dinero y los pagos</w:t>
        </w:r>
      </w:hyperlink>
    </w:p>
    <w:p w14:paraId="7EF54B58" w14:textId="77777777" w:rsidR="00A877B9" w:rsidRPr="00BE7A8E" w:rsidRDefault="00203BCB" w:rsidP="00A877B9">
      <w:pPr>
        <w:numPr>
          <w:ilvl w:val="0"/>
          <w:numId w:val="1"/>
        </w:numPr>
        <w:jc w:val="both"/>
      </w:pPr>
      <w:hyperlink r:id="rId11" w:history="1">
        <w:r w:rsidR="00A877B9" w:rsidRPr="00BE7A8E">
          <w:rPr>
            <w:rStyle w:val="Hipervnculo"/>
          </w:rPr>
          <w:t>Sandbox de valores digitales (DSS)</w:t>
        </w:r>
      </w:hyperlink>
    </w:p>
    <w:p w14:paraId="23587D2F" w14:textId="77777777" w:rsidR="00A877B9" w:rsidRPr="00BE7A8E" w:rsidRDefault="00203BCB" w:rsidP="00A877B9">
      <w:pPr>
        <w:numPr>
          <w:ilvl w:val="0"/>
          <w:numId w:val="1"/>
        </w:numPr>
        <w:jc w:val="both"/>
      </w:pPr>
      <w:hyperlink r:id="rId12" w:history="1">
        <w:r w:rsidR="00A877B9" w:rsidRPr="00BE7A8E">
          <w:rPr>
            <w:rStyle w:val="Hipervnculo"/>
          </w:rPr>
          <w:t>El Banco de Inglaterra publica su política sobre cuentas ómnibus en RTGS</w:t>
        </w:r>
      </w:hyperlink>
    </w:p>
    <w:p w14:paraId="14C744A0" w14:textId="77777777" w:rsidR="00A877B9" w:rsidRPr="00BE7A8E" w:rsidRDefault="00203BCB" w:rsidP="00A877B9">
      <w:pPr>
        <w:numPr>
          <w:ilvl w:val="0"/>
          <w:numId w:val="1"/>
        </w:numPr>
        <w:jc w:val="both"/>
      </w:pPr>
      <w:hyperlink r:id="rId13" w:anchor=":~:text=We%20are%20exploring%20new%20features,and%20extended%20RTGS%20operating%20hours.#:~:text=We%20are%20exploring%20new%20features,and%20extended%20RTGS%20operating%20hours." w:history="1">
        <w:r w:rsidR="00A877B9" w:rsidRPr="00BE7A8E">
          <w:rPr>
            <w:rStyle w:val="Hipervnculo"/>
          </w:rPr>
          <w:t>Hoja de ruta futura para RTGS</w:t>
        </w:r>
      </w:hyperlink>
    </w:p>
    <w:p w14:paraId="2DC5E0D5" w14:textId="2E4CE9DA" w:rsidR="007276E6" w:rsidRDefault="007276E6" w:rsidP="00A877B9">
      <w:pPr>
        <w:jc w:val="both"/>
      </w:pPr>
      <w:r w:rsidRPr="007276E6">
        <w:rPr>
          <w:noProof/>
        </w:rPr>
        <w:drawing>
          <wp:inline distT="0" distB="0" distL="0" distR="0" wp14:anchorId="57B41654" wp14:editId="05B6FD14">
            <wp:extent cx="5612130" cy="20135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013585"/>
                    </a:xfrm>
                    <a:prstGeom prst="rect">
                      <a:avLst/>
                    </a:prstGeom>
                  </pic:spPr>
                </pic:pic>
              </a:graphicData>
            </a:graphic>
          </wp:inline>
        </w:drawing>
      </w:r>
    </w:p>
    <w:p w14:paraId="78195748" w14:textId="77777777" w:rsidR="00A877B9" w:rsidRDefault="00A877B9" w:rsidP="00A877B9">
      <w:pPr>
        <w:jc w:val="both"/>
      </w:pPr>
    </w:p>
    <w:sectPr w:rsidR="00A877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1088"/>
    <w:multiLevelType w:val="multilevel"/>
    <w:tmpl w:val="D90C5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9"/>
    <w:rsid w:val="00203BCB"/>
    <w:rsid w:val="005C51FB"/>
    <w:rsid w:val="007276E6"/>
    <w:rsid w:val="00A877B9"/>
    <w:rsid w:val="00BE7A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C859"/>
  <w15:chartTrackingRefBased/>
  <w15:docId w15:val="{B77C6A27-B751-40CD-B3C4-0EC2FB8A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77B9"/>
    <w:rPr>
      <w:color w:val="0563C1" w:themeColor="hyperlink"/>
      <w:u w:val="single"/>
    </w:rPr>
  </w:style>
  <w:style w:type="character" w:styleId="Mencinsinresolver">
    <w:name w:val="Unresolved Mention"/>
    <w:basedOn w:val="Fuentedeprrafopredeter"/>
    <w:uiPriority w:val="99"/>
    <w:semiHidden/>
    <w:unhideWhenUsed/>
    <w:rsid w:val="00A87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98636">
      <w:bodyDiv w:val="1"/>
      <w:marLeft w:val="0"/>
      <w:marRight w:val="0"/>
      <w:marTop w:val="0"/>
      <w:marBottom w:val="0"/>
      <w:divBdr>
        <w:top w:val="none" w:sz="0" w:space="0" w:color="auto"/>
        <w:left w:val="none" w:sz="0" w:space="0" w:color="auto"/>
        <w:bottom w:val="none" w:sz="0" w:space="0" w:color="auto"/>
        <w:right w:val="none" w:sz="0" w:space="0" w:color="auto"/>
      </w:divBdr>
      <w:divsChild>
        <w:div w:id="639379297">
          <w:marLeft w:val="0"/>
          <w:marRight w:val="0"/>
          <w:marTop w:val="0"/>
          <w:marBottom w:val="0"/>
          <w:divBdr>
            <w:top w:val="none" w:sz="0" w:space="0" w:color="auto"/>
            <w:left w:val="none" w:sz="0" w:space="0" w:color="auto"/>
            <w:bottom w:val="none" w:sz="0" w:space="0" w:color="auto"/>
            <w:right w:val="none" w:sz="0" w:space="0" w:color="auto"/>
          </w:divBdr>
        </w:div>
        <w:div w:id="1220438898">
          <w:marLeft w:val="0"/>
          <w:marRight w:val="0"/>
          <w:marTop w:val="0"/>
          <w:marBottom w:val="300"/>
          <w:divBdr>
            <w:top w:val="none" w:sz="0" w:space="0" w:color="auto"/>
            <w:left w:val="none" w:sz="0" w:space="0" w:color="auto"/>
            <w:bottom w:val="none" w:sz="0" w:space="0" w:color="auto"/>
            <w:right w:val="none" w:sz="0" w:space="0" w:color="auto"/>
          </w:divBdr>
        </w:div>
        <w:div w:id="1490055395">
          <w:marLeft w:val="0"/>
          <w:marRight w:val="0"/>
          <w:marTop w:val="0"/>
          <w:marBottom w:val="0"/>
          <w:divBdr>
            <w:top w:val="none" w:sz="0" w:space="0" w:color="auto"/>
            <w:left w:val="none" w:sz="0" w:space="0" w:color="auto"/>
            <w:bottom w:val="none" w:sz="0" w:space="0" w:color="auto"/>
            <w:right w:val="none" w:sz="0" w:space="0" w:color="auto"/>
          </w:divBdr>
          <w:divsChild>
            <w:div w:id="2004507450">
              <w:marLeft w:val="0"/>
              <w:marRight w:val="0"/>
              <w:marTop w:val="0"/>
              <w:marBottom w:val="0"/>
              <w:divBdr>
                <w:top w:val="none" w:sz="0" w:space="0" w:color="auto"/>
                <w:left w:val="none" w:sz="0" w:space="0" w:color="auto"/>
                <w:bottom w:val="none" w:sz="0" w:space="0" w:color="auto"/>
                <w:right w:val="none" w:sz="0" w:space="0" w:color="auto"/>
              </w:divBdr>
              <w:divsChild>
                <w:div w:id="952906405">
                  <w:marLeft w:val="0"/>
                  <w:marRight w:val="0"/>
                  <w:marTop w:val="0"/>
                  <w:marBottom w:val="0"/>
                  <w:divBdr>
                    <w:top w:val="none" w:sz="0" w:space="0" w:color="auto"/>
                    <w:left w:val="none" w:sz="0" w:space="0" w:color="auto"/>
                    <w:bottom w:val="none" w:sz="0" w:space="0" w:color="auto"/>
                    <w:right w:val="none" w:sz="0" w:space="0" w:color="auto"/>
                  </w:divBdr>
                  <w:divsChild>
                    <w:div w:id="749233107">
                      <w:marLeft w:val="0"/>
                      <w:marRight w:val="0"/>
                      <w:marTop w:val="0"/>
                      <w:marBottom w:val="0"/>
                      <w:divBdr>
                        <w:top w:val="none" w:sz="0" w:space="0" w:color="auto"/>
                        <w:left w:val="none" w:sz="0" w:space="0" w:color="auto"/>
                        <w:bottom w:val="none" w:sz="0" w:space="0" w:color="auto"/>
                        <w:right w:val="none" w:sz="0" w:space="0" w:color="auto"/>
                      </w:divBdr>
                      <w:divsChild>
                        <w:div w:id="1186872509">
                          <w:marLeft w:val="0"/>
                          <w:marRight w:val="0"/>
                          <w:marTop w:val="0"/>
                          <w:marBottom w:val="0"/>
                          <w:divBdr>
                            <w:top w:val="none" w:sz="0" w:space="0" w:color="auto"/>
                            <w:left w:val="none" w:sz="0" w:space="0" w:color="auto"/>
                            <w:bottom w:val="none" w:sz="0" w:space="0" w:color="auto"/>
                            <w:right w:val="none" w:sz="0" w:space="0" w:color="auto"/>
                          </w:divBdr>
                          <w:divsChild>
                            <w:div w:id="1168248795">
                              <w:marLeft w:val="0"/>
                              <w:marRight w:val="0"/>
                              <w:marTop w:val="0"/>
                              <w:marBottom w:val="0"/>
                              <w:divBdr>
                                <w:top w:val="single" w:sz="12" w:space="0" w:color="415265"/>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ofengland.co.uk/speech/2024/october/sasha-mills-keynote-speech-at-the-digital-assets-week" TargetMode="External"/><Relationship Id="rId13" Type="http://schemas.openxmlformats.org/officeDocument/2006/relationships/hyperlink" Target="https://www.bankofengland.co.uk/payment-and-settlement/rtgs-future-roadmap" TargetMode="External"/><Relationship Id="rId3" Type="http://schemas.openxmlformats.org/officeDocument/2006/relationships/settings" Target="settings.xml"/><Relationship Id="rId7" Type="http://schemas.openxmlformats.org/officeDocument/2006/relationships/hyperlink" Target="https://www.bankofengland.co.uk/speech/2024/october/sasha-mills-keynote-speech-at-the-digital-assets-week" TargetMode="External"/><Relationship Id="rId12" Type="http://schemas.openxmlformats.org/officeDocument/2006/relationships/hyperlink" Target="https://www.bankofengland.co.uk/news/2021/april/boe-publishes-policy-for-omnibus-accounts-in-rtg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ankofengland.co.uk/speech/2024/october/sasha-mills-keynote-speech-at-the-digital-assets-week" TargetMode="External"/><Relationship Id="rId11" Type="http://schemas.openxmlformats.org/officeDocument/2006/relationships/hyperlink" Target="https://www.bankofengland.co.uk/financial-stability/digital-securities-sandbox"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bankofengland.co.uk/paper/2024/dp/the-boes-approach-to-innovation-in-money-and-payments" TargetMode="External"/><Relationship Id="rId4" Type="http://schemas.openxmlformats.org/officeDocument/2006/relationships/webSettings" Target="webSettings.xml"/><Relationship Id="rId9" Type="http://schemas.openxmlformats.org/officeDocument/2006/relationships/hyperlink" Target="https://www.bankofengland.co.uk/speech/2024/october/sasha-mills-keynote-speech-at-the-digital-assets-week"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2038</Words>
  <Characters>11215</Characters>
  <Application>Microsoft Office Word</Application>
  <DocSecurity>0</DocSecurity>
  <Lines>93</Lines>
  <Paragraphs>26</Paragraphs>
  <ScaleCrop>false</ScaleCrop>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2024-10-17T03:15:00Z</dcterms:created>
  <dcterms:modified xsi:type="dcterms:W3CDTF">2024-10-22T04:04:00Z</dcterms:modified>
</cp:coreProperties>
</file>