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B457E" w14:textId="4E97C109" w:rsidR="001F1E7A" w:rsidRPr="001C0550" w:rsidRDefault="001F1E7A" w:rsidP="001F1E7A">
      <w:pPr>
        <w:jc w:val="both"/>
        <w:rPr>
          <w:rFonts w:ascii="Abadi" w:hAnsi="Abadi"/>
          <w:sz w:val="24"/>
          <w:szCs w:val="24"/>
        </w:rPr>
      </w:pPr>
      <w:r w:rsidRPr="001C0550">
        <w:rPr>
          <w:rFonts w:ascii="Abadi" w:hAnsi="Abadi"/>
          <w:sz w:val="24"/>
          <w:szCs w:val="24"/>
        </w:rPr>
        <w:t>Reuniones del Banco Mundial y el FMI - Última oportunidad antes de la COP29</w:t>
      </w:r>
    </w:p>
    <w:p w14:paraId="7AC5C830" w14:textId="0B6A4EA7" w:rsidR="001F1E7A" w:rsidRPr="001F1E7A" w:rsidRDefault="001F1E7A" w:rsidP="001F1E7A">
      <w:pPr>
        <w:jc w:val="both"/>
      </w:pPr>
      <w:r w:rsidRPr="001F1E7A">
        <w:rPr>
          <w:noProof/>
        </w:rPr>
        <w:drawing>
          <wp:inline distT="0" distB="0" distL="0" distR="0" wp14:anchorId="08344081" wp14:editId="446F9FFC">
            <wp:extent cx="1285336" cy="1285336"/>
            <wp:effectExtent l="0" t="0" r="0" b="0"/>
            <wp:docPr id="1" name="Imagen 1" descr="espacio en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cio en blan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1780" cy="1291780"/>
                    </a:xfrm>
                    <a:prstGeom prst="rect">
                      <a:avLst/>
                    </a:prstGeom>
                    <a:noFill/>
                    <a:ln>
                      <a:noFill/>
                    </a:ln>
                  </pic:spPr>
                </pic:pic>
              </a:graphicData>
            </a:graphic>
          </wp:inline>
        </w:drawing>
      </w:r>
    </w:p>
    <w:p w14:paraId="109DDC57" w14:textId="15F907F5" w:rsidR="001F1E7A" w:rsidRPr="001F1E7A" w:rsidRDefault="001F1E7A" w:rsidP="001F1E7A">
      <w:pPr>
        <w:jc w:val="both"/>
      </w:pPr>
      <w:r w:rsidRPr="001F1E7A">
        <w:t>Por</w:t>
      </w:r>
      <w:r>
        <w:t xml:space="preserve">: </w:t>
      </w:r>
      <w:hyperlink r:id="rId6" w:tooltip="Posts by Alice Tchernookova" w:history="1">
        <w:r w:rsidRPr="001F1E7A">
          <w:rPr>
            <w:rStyle w:val="Hipervnculo"/>
          </w:rPr>
          <w:t>Alice Tchernookova</w:t>
        </w:r>
      </w:hyperlink>
    </w:p>
    <w:p w14:paraId="02B84694" w14:textId="77777777" w:rsidR="001F1E7A" w:rsidRPr="001F1E7A" w:rsidRDefault="001F1E7A" w:rsidP="001F1E7A">
      <w:pPr>
        <w:jc w:val="both"/>
      </w:pPr>
      <w:r w:rsidRPr="001F1E7A">
        <w:t>18 de octubre de 2024</w:t>
      </w:r>
    </w:p>
    <w:p w14:paraId="72784CFE" w14:textId="77777777" w:rsidR="001F1E7A" w:rsidRPr="001F1E7A" w:rsidRDefault="001F1E7A" w:rsidP="001F1E7A">
      <w:pPr>
        <w:jc w:val="both"/>
        <w:rPr>
          <w:b/>
          <w:bCs/>
        </w:rPr>
      </w:pPr>
      <w:r w:rsidRPr="001F1E7A">
        <w:rPr>
          <w:b/>
          <w:bCs/>
        </w:rPr>
        <w:t>Los foros son una oportunidad para cerrar la brecha entre el Norte y el Sur Global, pero se espera que las discusiones sobre el financiamiento climático sean principalmente "técnicas".</w:t>
      </w:r>
    </w:p>
    <w:p w14:paraId="0C2E9315" w14:textId="3DFEB76B" w:rsidR="001F1E7A" w:rsidRPr="001F1E7A" w:rsidRDefault="001F1E7A" w:rsidP="001F1E7A">
      <w:pPr>
        <w:jc w:val="both"/>
      </w:pPr>
      <w:r w:rsidRPr="001F1E7A">
        <w:t>En palabras de Rob Moore, director asociado del grupo de expertos E3G, las</w:t>
      </w:r>
      <w:r w:rsidR="001C0550">
        <w:t xml:space="preserve"> </w:t>
      </w:r>
      <w:hyperlink r:id="rId7" w:history="1">
        <w:r w:rsidRPr="001F1E7A">
          <w:rPr>
            <w:rStyle w:val="Hipervnculo"/>
            <w:b/>
            <w:bCs/>
          </w:rPr>
          <w:t>reuniones anuales</w:t>
        </w:r>
      </w:hyperlink>
      <w:r w:rsidR="001C0550">
        <w:t xml:space="preserve"> </w:t>
      </w:r>
      <w:r w:rsidRPr="001F1E7A">
        <w:t>del Banco Mundial y el Fondo Monetario Internacional (FMI) representan la ocasión definitiva para "romper el estancamiento del gran abismo" que separa a los países en desarrollo de los proveedores de financiamiento climático.</w:t>
      </w:r>
    </w:p>
    <w:p w14:paraId="71CD38E9" w14:textId="01A3FCC9" w:rsidR="001F1E7A" w:rsidRPr="001F1E7A" w:rsidRDefault="001F1E7A" w:rsidP="001F1E7A">
      <w:pPr>
        <w:jc w:val="both"/>
      </w:pPr>
      <w:r w:rsidRPr="001F1E7A">
        <w:t>Dado que la financiación climática estará</w:t>
      </w:r>
      <w:r w:rsidR="001C0550">
        <w:t xml:space="preserve"> </w:t>
      </w:r>
      <w:hyperlink r:id="rId8" w:history="1">
        <w:r w:rsidRPr="001F1E7A">
          <w:rPr>
            <w:rStyle w:val="Hipervnculo"/>
            <w:b/>
            <w:bCs/>
          </w:rPr>
          <w:t>en el centro</w:t>
        </w:r>
      </w:hyperlink>
      <w:r w:rsidR="001C0550">
        <w:t xml:space="preserve"> </w:t>
      </w:r>
      <w:r w:rsidRPr="001F1E7A">
        <w:t>de la COP29, se está acabando el tiempo para idear soluciones tangibles que puedan conducir a un acuerdo mundial vinculante.</w:t>
      </w:r>
    </w:p>
    <w:p w14:paraId="690D29E5" w14:textId="77777777" w:rsidR="001F1E7A" w:rsidRPr="001F1E7A" w:rsidRDefault="001F1E7A" w:rsidP="001F1E7A">
      <w:pPr>
        <w:jc w:val="both"/>
      </w:pPr>
      <w:r w:rsidRPr="001F1E7A">
        <w:t>"Existe la sensación de que después de haber hecho gran parte de ese trabajo técnico a lo largo de los años y haber comenzado a promulgar algunas medidas, ahora hay una disminución del impulso político detrás [de estos esfuerzos]", dijo Moore durante una sesión informativa de E3G esta semana. "Las reuniones anuales son probablemente el último punto antes de la COP en el que hay una oportunidad para que los ministros de finanzas y clima se reúnan y envíen una gran señal política".</w:t>
      </w:r>
    </w:p>
    <w:p w14:paraId="390D1BB8" w14:textId="5A4304F2" w:rsidR="001F1E7A" w:rsidRPr="001F1E7A" w:rsidRDefault="001F1E7A" w:rsidP="001F1E7A">
      <w:pPr>
        <w:jc w:val="both"/>
      </w:pPr>
      <w:r w:rsidRPr="001F1E7A">
        <w:t>La financiación para los países en desarrollo vendrá en gran medida en forma de un</w:t>
      </w:r>
      <w:r w:rsidR="001C0550">
        <w:t xml:space="preserve"> </w:t>
      </w:r>
      <w:hyperlink r:id="rId9" w:history="1">
        <w:r w:rsidRPr="001F1E7A">
          <w:rPr>
            <w:rStyle w:val="Hipervnculo"/>
            <w:b/>
            <w:bCs/>
          </w:rPr>
          <w:t>Nuevo Objetivo Colectivo Cuantificado</w:t>
        </w:r>
      </w:hyperlink>
      <w:r w:rsidR="001C0550">
        <w:t xml:space="preserve"> </w:t>
      </w:r>
      <w:r w:rsidRPr="001F1E7A">
        <w:t>(NCQG, por sus siglas en inglés), un objetivo sucesor de la financiación climática que elevará el mínimo de 100.000 millones de dólares establecido en 2009 y finalmente alcanzado en 2022.</w:t>
      </w:r>
    </w:p>
    <w:p w14:paraId="46ED4067" w14:textId="77777777" w:rsidR="001F1E7A" w:rsidRPr="001F1E7A" w:rsidRDefault="001F1E7A" w:rsidP="001F1E7A">
      <w:pPr>
        <w:jc w:val="both"/>
      </w:pPr>
      <w:r w:rsidRPr="001F1E7A">
        <w:t>"Esto será realmente importante para tratar de cerrar la división que ha surgido en las negociaciones, y [abordar] la continua polarización que estamos viendo entre el Norte Global y el Sur Global", dijo Moore.</w:t>
      </w:r>
    </w:p>
    <w:p w14:paraId="16CC921A" w14:textId="77777777" w:rsidR="001F1E7A" w:rsidRPr="001F1E7A" w:rsidRDefault="001F1E7A" w:rsidP="001F1E7A">
      <w:pPr>
        <w:jc w:val="both"/>
      </w:pPr>
      <w:r w:rsidRPr="001F1E7A">
        <w:t>Sin embargo, más allá de las señales políticas, Moore y sus colegas esperan en gran medida que las reuniones anuales del próximo fin de semana sean de "naturaleza técnica" en lo que respecta a la financiación climática.</w:t>
      </w:r>
    </w:p>
    <w:p w14:paraId="410DAB63" w14:textId="77777777" w:rsidR="001F1E7A" w:rsidRPr="001F1E7A" w:rsidRDefault="001F1E7A" w:rsidP="001F1E7A">
      <w:pPr>
        <w:jc w:val="both"/>
      </w:pPr>
      <w:r w:rsidRPr="001F1E7A">
        <w:t xml:space="preserve">"Hay un camino hacia un acuerdo en la COP que será muy desafiante, requerirá mucho liderazgo político y que todos se sientan un poco incómodos y encuentren soluciones creativas", agregó. "Sabemos que las necesidades [de los países en desarrollo] se cuentan por billones. En este momento, la política es tal que es relativamente poco probable que haya un cambio real en la </w:t>
      </w:r>
      <w:r w:rsidRPr="001F1E7A">
        <w:lastRenderedPageBreak/>
        <w:t>definición de los presupuestos de desarrollo en los próximos dos años, o aumentos múltiples en las finanzas públicas".</w:t>
      </w:r>
    </w:p>
    <w:p w14:paraId="4474DACB" w14:textId="1E6C5206" w:rsidR="001F1E7A" w:rsidRPr="001F1E7A" w:rsidRDefault="001F1E7A" w:rsidP="001F1E7A">
      <w:pPr>
        <w:jc w:val="both"/>
      </w:pPr>
      <w:r w:rsidRPr="001F1E7A">
        <w:t>Si bien las necesidades de financiamiento climático siguen aumentando (la brecha actual se estima en</w:t>
      </w:r>
      <w:r w:rsidR="001C0550">
        <w:t xml:space="preserve"> </w:t>
      </w:r>
      <w:hyperlink r:id="rId10" w:history="1">
        <w:r w:rsidRPr="001F1E7A">
          <w:rPr>
            <w:rStyle w:val="Hipervnculo"/>
            <w:b/>
            <w:bCs/>
          </w:rPr>
          <w:t>casi 200 billones de dólares para 2050</w:t>
        </w:r>
      </w:hyperlink>
      <w:r w:rsidRPr="001F1E7A">
        <w:t>), especialmente en los países en desarrollo, muchos de los cuales están en aumento con problemas de deuda, los presupuestos de ayuda se están reduciendo entre los proveedores convencionales, explicó Moore, lo que crea una ecuación difícil de resolver.</w:t>
      </w:r>
    </w:p>
    <w:p w14:paraId="51FA71D1" w14:textId="77777777" w:rsidR="001F1E7A" w:rsidRPr="001F1E7A" w:rsidRDefault="001F1E7A" w:rsidP="001F1E7A">
      <w:pPr>
        <w:jc w:val="both"/>
      </w:pPr>
      <w:r w:rsidRPr="001F1E7A">
        <w:t>"No hace falta decir que la geopolítica en torno a la financiación climática no está en una burbuja, pero incluso si lo estuviera, estaría bastante tensa este año", dijo. "Encontrar una ruta hacia un acuerdo en Bakú probablemente significará una combinación de apoyo internacional convencional que se incrementará y mejorará en calidad, y de cuestiones estructurales más amplias en torno a la remodelación del financiamiento climático para garantizar que los países tengan el espacio fiscal para prestar realmente".</w:t>
      </w:r>
    </w:p>
    <w:p w14:paraId="0FED3120" w14:textId="77777777" w:rsidR="001F1E7A" w:rsidRPr="001F1E7A" w:rsidRDefault="001F1E7A" w:rsidP="001F1E7A">
      <w:pPr>
        <w:jc w:val="both"/>
        <w:rPr>
          <w:b/>
          <w:bCs/>
        </w:rPr>
      </w:pPr>
      <w:r w:rsidRPr="001F1E7A">
        <w:rPr>
          <w:b/>
          <w:bCs/>
        </w:rPr>
        <w:t>Remodelación de las finanzas sostenibles</w:t>
      </w:r>
    </w:p>
    <w:p w14:paraId="19825612" w14:textId="77777777" w:rsidR="001F1E7A" w:rsidRPr="001F1E7A" w:rsidRDefault="001F1E7A" w:rsidP="001F1E7A">
      <w:pPr>
        <w:jc w:val="both"/>
      </w:pPr>
      <w:r w:rsidRPr="001F1E7A">
        <w:t>Dada la obsolescencia de algunas de las atribuciones creadas a través de los Acuerdos de Bretton Woods en 1944, el FMI y el Banco Mundial se han visto sometidos a una presión cada vez mayor para reformar sus estructuras en los últimos años.</w:t>
      </w:r>
    </w:p>
    <w:p w14:paraId="382CA1EB" w14:textId="77777777" w:rsidR="001F1E7A" w:rsidRPr="001F1E7A" w:rsidRDefault="001F1E7A" w:rsidP="001F1E7A">
      <w:pPr>
        <w:jc w:val="both"/>
      </w:pPr>
      <w:r w:rsidRPr="001F1E7A">
        <w:t>Varias conferencias de alto perfil dedicadas al tema han dado lugar a cambios significativos, con un enfoque específico en la necesidad de repensar el propósito de los bancos multilaterales de desarrollo (BMD), que canalizan la mayor parte del financiamiento a los países en desarrollo.</w:t>
      </w:r>
    </w:p>
    <w:p w14:paraId="234C82C0" w14:textId="6AFF816B" w:rsidR="001F1E7A" w:rsidRPr="001F1E7A" w:rsidRDefault="001F1E7A" w:rsidP="001F1E7A">
      <w:pPr>
        <w:jc w:val="both"/>
      </w:pPr>
      <w:r w:rsidRPr="001F1E7A">
        <w:t>Después de una creciente presión para ir más allá de los términos establecidos por el acuerdo de Bretton Woods, en las reuniones de primavera del Banco Mundial y el FMI se observaron algunas señales de cambio decisivo, como el nuevo</w:t>
      </w:r>
      <w:r w:rsidR="001C0550">
        <w:t xml:space="preserve"> </w:t>
      </w:r>
      <w:hyperlink r:id="rId11" w:history="1">
        <w:r w:rsidRPr="001F1E7A">
          <w:rPr>
            <w:rStyle w:val="Hipervnculo"/>
            <w:b/>
            <w:bCs/>
          </w:rPr>
          <w:t>cuadro de mando corporativo</w:t>
        </w:r>
      </w:hyperlink>
      <w:r w:rsidRPr="001F1E7A">
        <w:t>, las actualizaciones del Banco Internacional de Reconstrucción y Fomento y la</w:t>
      </w:r>
      <w:r w:rsidR="001C0550">
        <w:t xml:space="preserve"> </w:t>
      </w:r>
      <w:hyperlink r:id="rId12" w:history="1">
        <w:r w:rsidRPr="001F1E7A">
          <w:rPr>
            <w:rStyle w:val="Hipervnculo"/>
            <w:b/>
            <w:bCs/>
          </w:rPr>
          <w:t>Plataforma Aceleradora de Soluciones Globales</w:t>
        </w:r>
      </w:hyperlink>
      <w:r w:rsidRPr="001F1E7A">
        <w:t>.</w:t>
      </w:r>
    </w:p>
    <w:p w14:paraId="4940B313" w14:textId="77777777" w:rsidR="001F1E7A" w:rsidRPr="001F1E7A" w:rsidRDefault="001F1E7A" w:rsidP="001F1E7A">
      <w:pPr>
        <w:jc w:val="both"/>
      </w:pPr>
      <w:r w:rsidRPr="001F1E7A">
        <w:t>Según Moore, se han logrado muchos avances técnicos en ese sentido, tanto en lo que respecta a la movilización de financiación privada a través de marcos actualizados, como en el sector de la financiación del desarrollo con la mejora de la eficiencia de los bancos multilaterales de desarrollo.</w:t>
      </w:r>
    </w:p>
    <w:p w14:paraId="5222CA00" w14:textId="77777777" w:rsidR="001F1E7A" w:rsidRPr="001F1E7A" w:rsidRDefault="001F1E7A" w:rsidP="001F1E7A">
      <w:pPr>
        <w:jc w:val="both"/>
      </w:pPr>
      <w:r w:rsidRPr="001F1E7A">
        <w:t>En línea con esto, también ha evolucionado la implementación de medidas para garantizar que el dinero termine en los lugares correctos y se utilice de la mejor manera posible. "Ha habido mucho trabajo para maximizar el impacto de los bancos multilaterales de desarrollo en ese sentido, pero existe el riesgo de caer en la complacencia en este momento", advirtió Moore.</w:t>
      </w:r>
    </w:p>
    <w:p w14:paraId="1BAC43A2" w14:textId="77777777" w:rsidR="001F1E7A" w:rsidRPr="001F1E7A" w:rsidRDefault="001F1E7A" w:rsidP="001F1E7A">
      <w:pPr>
        <w:jc w:val="both"/>
      </w:pPr>
      <w:r w:rsidRPr="001F1E7A">
        <w:t>Aunque este progreso es valioso, aún se necesita mucho más para apoyar la transición a nivel mundial y alinearse con los objetivos del Acuerdo de París.</w:t>
      </w:r>
    </w:p>
    <w:p w14:paraId="3AAB6B54" w14:textId="77777777" w:rsidR="001F1E7A" w:rsidRPr="001F1E7A" w:rsidRDefault="001F1E7A" w:rsidP="001F1E7A">
      <w:pPr>
        <w:jc w:val="both"/>
      </w:pPr>
      <w:r w:rsidRPr="001F1E7A">
        <w:t xml:space="preserve">"Los impactos climáticos de este año no han tenido precedentes en términos de calor, sequía, inundaciones, tormentas, y estamos listos para ver que empeorarán con los años a medida que las emisiones continúen aumentando", dijo Kate Levick, directora asociada de E3G. "El FMI y los ministros de finanzas en las reuniones del G-20 deben adelantarse a esta agenda, poner en marcha </w:t>
      </w:r>
      <w:r w:rsidRPr="001F1E7A">
        <w:lastRenderedPageBreak/>
        <w:t>medidas que realmente aborden los impactos económicos y financieros, y planificar la tasa de resistencia a futuros shocks".</w:t>
      </w:r>
    </w:p>
    <w:p w14:paraId="5D41484F" w14:textId="77777777" w:rsidR="001F1E7A" w:rsidRPr="001F1E7A" w:rsidRDefault="001F1E7A" w:rsidP="001F1E7A">
      <w:pPr>
        <w:jc w:val="both"/>
      </w:pPr>
      <w:r w:rsidRPr="001F1E7A">
        <w:t>Como medida inmediata, Levick sugirió que el FMI debería hacer de las cláusulas de deuda resistentes al clima un componente estándar de sus préstamos. "Los bancos multilaterales de desarrollo ya han comenzado a integrarlos en sus préstamos, ahora es el momento de que el FMI también lo haga", agregó.</w:t>
      </w:r>
    </w:p>
    <w:p w14:paraId="2C7FF3E3" w14:textId="77777777" w:rsidR="001F1E7A" w:rsidRPr="001F1E7A" w:rsidRDefault="001F1E7A" w:rsidP="001F1E7A">
      <w:pPr>
        <w:jc w:val="both"/>
      </w:pPr>
      <w:r w:rsidRPr="001F1E7A">
        <w:t>Más allá de esto, existe una cuestión en cuanto a la entrega, el ritmo y la escala de la modernización de los recursos necesarios para alcanzar un mundo seguro para el clima, y para hacerlo de una manera compatible con las necesidades de desarrollo de los países, observó la asesora principal de políticas de E3G, Laura Sabogal Reyes.</w:t>
      </w:r>
    </w:p>
    <w:p w14:paraId="43BC289A" w14:textId="77777777" w:rsidR="001F1E7A" w:rsidRPr="001F1E7A" w:rsidRDefault="001F1E7A" w:rsidP="001F1E7A">
      <w:pPr>
        <w:jc w:val="both"/>
      </w:pPr>
      <w:r w:rsidRPr="001F1E7A">
        <w:t>"Parte de esa agenda juega en las plataformas nacionales como un mecanismo eficaz para coordinar el apoyo de los diferentes donantes y actores", dijo. "Esto se alinea en gran medida con el impulso para garantizar que esto siga siendo una discusión impulsada por los países".</w:t>
      </w:r>
    </w:p>
    <w:p w14:paraId="246E6D52" w14:textId="27CE1872" w:rsidR="001F1E7A" w:rsidRPr="001F1E7A" w:rsidRDefault="001F1E7A" w:rsidP="001F1E7A">
      <w:pPr>
        <w:jc w:val="both"/>
      </w:pPr>
      <w:r w:rsidRPr="001F1E7A">
        <w:t>Los foros recientes, incluida</w:t>
      </w:r>
      <w:r w:rsidR="001C0550">
        <w:t xml:space="preserve"> </w:t>
      </w:r>
      <w:hyperlink r:id="rId13" w:history="1">
        <w:r w:rsidRPr="001F1E7A">
          <w:rPr>
            <w:rStyle w:val="Hipervnculo"/>
            <w:b/>
            <w:bCs/>
          </w:rPr>
          <w:t>la Semana del Clima de Nueva York 2024</w:t>
        </w:r>
      </w:hyperlink>
      <w:r w:rsidRPr="001F1E7A">
        <w:t>, han llevado a una mayor claridad de los países sobre sus vías de transición, según Sabogal Reyes. "Al final del día, todas estas reformas están dirigidas a ayudar a los países a realizar esas transiciones", agregó.</w:t>
      </w:r>
    </w:p>
    <w:p w14:paraId="3B64A04E" w14:textId="77777777" w:rsidR="001F1E7A" w:rsidRPr="001F1E7A" w:rsidRDefault="001F1E7A" w:rsidP="001F1E7A">
      <w:pPr>
        <w:jc w:val="both"/>
        <w:rPr>
          <w:b/>
          <w:bCs/>
        </w:rPr>
      </w:pPr>
      <w:r w:rsidRPr="001F1E7A">
        <w:rPr>
          <w:b/>
          <w:bCs/>
        </w:rPr>
        <w:t>Los bancos multilaterales de desarrollo son clave</w:t>
      </w:r>
    </w:p>
    <w:p w14:paraId="1E66AF0C" w14:textId="77777777" w:rsidR="001F1E7A" w:rsidRPr="001F1E7A" w:rsidRDefault="001F1E7A" w:rsidP="001F1E7A">
      <w:pPr>
        <w:jc w:val="both"/>
      </w:pPr>
      <w:r w:rsidRPr="001F1E7A">
        <w:t>A pesar de sus deficiencias, los bancos multilaterales de desarrollo seguirán siendo fundamentales para ampliar las finanzas públicas y hacer frente a la crisis climática, sugirió Danny Scull, asesor principal de políticas de E3G.</w:t>
      </w:r>
    </w:p>
    <w:p w14:paraId="6456299D" w14:textId="77777777" w:rsidR="001F1E7A" w:rsidRPr="001F1E7A" w:rsidRDefault="001F1E7A" w:rsidP="001F1E7A">
      <w:pPr>
        <w:jc w:val="both"/>
      </w:pPr>
      <w:r w:rsidRPr="001F1E7A">
        <w:t>"Los bancos multilaterales de desarrollo son cruciales para la agenda de financiamiento climático, simplemente no hay forma de alcanzar los números que los informes académicos han [citado] sin ellos", dijo. "[Esto] se debe a que se aprovechan. A diferencia de los préstamos bilaterales o la ayuda que es 'dólar adentro, dólar sale', los BMD generalmente aceptan contribuciones y pueden aprovecharlas en los mercados de capitales".</w:t>
      </w:r>
    </w:p>
    <w:p w14:paraId="58874619" w14:textId="77777777" w:rsidR="001F1E7A" w:rsidRPr="001F1E7A" w:rsidRDefault="001F1E7A" w:rsidP="001F1E7A">
      <w:pPr>
        <w:jc w:val="both"/>
      </w:pPr>
      <w:r w:rsidRPr="001F1E7A">
        <w:t>En línea con esto, el Banco Mundial ha adaptado su agenda en los últimos dos años para permitir "bancos más grandes y mejores", explicó Scull, introduciendo medidas de eficiencia, reformas del marco de adecuación de capital y posibles inyecciones de capital.</w:t>
      </w:r>
    </w:p>
    <w:p w14:paraId="589913A8" w14:textId="77777777" w:rsidR="001F1E7A" w:rsidRPr="001F1E7A" w:rsidRDefault="001F1E7A" w:rsidP="001F1E7A">
      <w:pPr>
        <w:jc w:val="both"/>
      </w:pPr>
      <w:r w:rsidRPr="001F1E7A">
        <w:t>"Así es como realmente se puede construir un sistema de MDB más grande para llegar a los números que vamos a debatir en la COP", argumentó.</w:t>
      </w:r>
    </w:p>
    <w:p w14:paraId="0394076D" w14:textId="20FB2B81" w:rsidR="001F1E7A" w:rsidRPr="001F1E7A" w:rsidRDefault="001F1E7A" w:rsidP="001F1E7A">
      <w:pPr>
        <w:jc w:val="both"/>
      </w:pPr>
      <w:r w:rsidRPr="001F1E7A">
        <w:t>El Banco Mundial publicó su</w:t>
      </w:r>
      <w:r w:rsidR="001C0550">
        <w:t xml:space="preserve"> </w:t>
      </w:r>
      <w:hyperlink r:id="rId14" w:history="1">
        <w:r w:rsidRPr="001F1E7A">
          <w:rPr>
            <w:rStyle w:val="Hipervnculo"/>
            <w:b/>
            <w:bCs/>
          </w:rPr>
          <w:t>declaración del comité de desarrollo</w:t>
        </w:r>
      </w:hyperlink>
      <w:r w:rsidR="001C0550">
        <w:t xml:space="preserve"> </w:t>
      </w:r>
      <w:r w:rsidRPr="001F1E7A">
        <w:t>la semana pasada, en la que señala cambios operativos, como una declaración de visión para incluir desafíos globales y cláusulas de deuda resiliente al clima, informes de diagnóstico climático, incentivos para préstamos transfronterizos de desafíos globales y una cartera de garantías ampliada. El siguiente paso en la agenda podría ser la reforma de la gobernanza, aventuró Scull.</w:t>
      </w:r>
    </w:p>
    <w:p w14:paraId="60ED8995" w14:textId="77777777" w:rsidR="001F1E7A" w:rsidRPr="001F1E7A" w:rsidRDefault="001F1E7A" w:rsidP="001F1E7A">
      <w:pPr>
        <w:jc w:val="both"/>
      </w:pPr>
      <w:r w:rsidRPr="001F1E7A">
        <w:t>"Pero tanto el Banco Mundial como los bancos multilaterales de desarrollo no han alcanzado la escala que se previó al comienzo de este proceso", agregó.</w:t>
      </w:r>
    </w:p>
    <w:p w14:paraId="13C400AF" w14:textId="213696E4" w:rsidR="001F1E7A" w:rsidRPr="001F1E7A" w:rsidRDefault="001F1E7A" w:rsidP="001F1E7A">
      <w:pPr>
        <w:jc w:val="both"/>
      </w:pPr>
      <w:r w:rsidRPr="001F1E7A">
        <w:lastRenderedPageBreak/>
        <w:t>Las contribuciones realizadas en el marco de la Asociación Internacional de Fomento del Banco Mundial (AIF, por sus siglas en inglés) –que ayuda a los países de bajos ingresos a través de donaciones y préstamos a bajo interés– idealmente deberían alcanzar los US$30.000 millones, argumentó Scully, para movilizar los US$120.000 millones citados por las Organizaciones de la</w:t>
      </w:r>
      <w:r w:rsidR="001C0550">
        <w:t xml:space="preserve"> </w:t>
      </w:r>
      <w:hyperlink r:id="rId15" w:history="1">
        <w:r w:rsidRPr="001F1E7A">
          <w:rPr>
            <w:rStyle w:val="Hipervnculo"/>
            <w:b/>
            <w:bCs/>
          </w:rPr>
          <w:t>Sociedad Civil (OSC).</w:t>
        </w:r>
      </w:hyperlink>
    </w:p>
    <w:p w14:paraId="615AEE19" w14:textId="77777777" w:rsidR="001F1E7A" w:rsidRPr="001F1E7A" w:rsidRDefault="001F1E7A" w:rsidP="001F1E7A">
      <w:pPr>
        <w:jc w:val="both"/>
      </w:pPr>
      <w:r w:rsidRPr="001F1E7A">
        <w:t>"Lo que no esperamos es ninguna conversación en torno a un aumento general de capital, que sería el último componente importante para aumentar el tamaño del sistema MDB", dijo. "Todo el trabajo que se ha hecho en los últimos dos años es fantástico, pero es hora de dejar atrás el 'mejor banco' y llegar a las reformas del 'banco más grande' si queremos tener alguna posibilidad de éxito, en Bakú o en cualquier otro lugar".</w:t>
      </w:r>
    </w:p>
    <w:p w14:paraId="7F18A26A" w14:textId="2611E4E2" w:rsidR="001F1E7A" w:rsidRPr="001C0550" w:rsidRDefault="001F1E7A" w:rsidP="001F1E7A">
      <w:pPr>
        <w:jc w:val="both"/>
      </w:pPr>
      <w:r w:rsidRPr="001C0550">
        <w:t xml:space="preserve">Artículos relacionados: </w:t>
      </w:r>
      <w:hyperlink r:id="rId16" w:history="1">
        <w:r w:rsidRPr="001C0550">
          <w:rPr>
            <w:rStyle w:val="Hipervnculo"/>
          </w:rPr>
          <w:t>Finanzas climáticas</w:t>
        </w:r>
      </w:hyperlink>
      <w:r w:rsidRPr="001C0550">
        <w:t>,</w:t>
      </w:r>
      <w:r w:rsidR="001C0550" w:rsidRPr="001C0550">
        <w:t xml:space="preserve"> </w:t>
      </w:r>
      <w:hyperlink r:id="rId17" w:history="1">
        <w:r w:rsidRPr="001C0550">
          <w:rPr>
            <w:rStyle w:val="Hipervnculo"/>
          </w:rPr>
          <w:t>COP29</w:t>
        </w:r>
      </w:hyperlink>
      <w:r w:rsidRPr="001C0550">
        <w:t>,</w:t>
      </w:r>
      <w:r w:rsidR="001C0550" w:rsidRPr="001C0550">
        <w:t xml:space="preserve"> </w:t>
      </w:r>
      <w:hyperlink r:id="rId18" w:history="1">
        <w:r w:rsidRPr="001C0550">
          <w:rPr>
            <w:rStyle w:val="Hipervnculo"/>
          </w:rPr>
          <w:t>brecha de financiamiento</w:t>
        </w:r>
      </w:hyperlink>
      <w:r w:rsidRPr="001C0550">
        <w:t>,</w:t>
      </w:r>
      <w:r w:rsidR="001C0550" w:rsidRPr="001C0550">
        <w:t xml:space="preserve"> </w:t>
      </w:r>
      <w:hyperlink r:id="rId19" w:history="1">
        <w:r w:rsidRPr="001C0550">
          <w:rPr>
            <w:rStyle w:val="Hipervnculo"/>
          </w:rPr>
          <w:t>NORTE GLOBAL,</w:t>
        </w:r>
      </w:hyperlink>
      <w:r w:rsidRPr="001C0550">
        <w:t xml:space="preserve"> </w:t>
      </w:r>
      <w:hyperlink r:id="rId20" w:history="1">
        <w:r w:rsidRPr="001C0550">
          <w:rPr>
            <w:rStyle w:val="Hipervnculo"/>
          </w:rPr>
          <w:t>SUR GLOBAL,</w:t>
        </w:r>
      </w:hyperlink>
      <w:r w:rsidR="001C0550" w:rsidRPr="001C0550">
        <w:rPr>
          <w:rStyle w:val="Hipervnculo"/>
        </w:rPr>
        <w:t xml:space="preserve"> </w:t>
      </w:r>
      <w:hyperlink r:id="rId21" w:history="1">
        <w:r w:rsidRPr="001C0550">
          <w:rPr>
            <w:rStyle w:val="Hipervnculo"/>
          </w:rPr>
          <w:t>BANCOS MULTILATERALES de DESARROLLO,</w:t>
        </w:r>
      </w:hyperlink>
      <w:r w:rsidR="001C0550" w:rsidRPr="001C0550">
        <w:rPr>
          <w:rStyle w:val="Hipervnculo"/>
        </w:rPr>
        <w:t xml:space="preserve"> </w:t>
      </w:r>
      <w:hyperlink r:id="rId22" w:history="1">
        <w:r w:rsidRPr="001C0550">
          <w:rPr>
            <w:rStyle w:val="Hipervnculo"/>
          </w:rPr>
          <w:t>FINANZAS SOSTENIBLES</w:t>
        </w:r>
      </w:hyperlink>
    </w:p>
    <w:p w14:paraId="5C220211" w14:textId="77777777" w:rsidR="0017002A" w:rsidRPr="001C0550" w:rsidRDefault="0017002A" w:rsidP="001F1E7A">
      <w:pPr>
        <w:jc w:val="both"/>
      </w:pPr>
    </w:p>
    <w:sectPr w:rsidR="0017002A" w:rsidRPr="001C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63655"/>
    <w:multiLevelType w:val="multilevel"/>
    <w:tmpl w:val="3E10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7A"/>
    <w:rsid w:val="0017002A"/>
    <w:rsid w:val="001C0550"/>
    <w:rsid w:val="001F1E7A"/>
    <w:rsid w:val="008C2E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52BE"/>
  <w15:chartTrackingRefBased/>
  <w15:docId w15:val="{D58F046E-5ED6-4664-9CF5-8E9E6A48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F1E7A"/>
    <w:rPr>
      <w:color w:val="0563C1" w:themeColor="hyperlink"/>
      <w:u w:val="single"/>
    </w:rPr>
  </w:style>
  <w:style w:type="character" w:styleId="Mencinsinresolver">
    <w:name w:val="Unresolved Mention"/>
    <w:basedOn w:val="Fuentedeprrafopredeter"/>
    <w:uiPriority w:val="99"/>
    <w:semiHidden/>
    <w:unhideWhenUsed/>
    <w:rsid w:val="001F1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86790">
      <w:bodyDiv w:val="1"/>
      <w:marLeft w:val="0"/>
      <w:marRight w:val="0"/>
      <w:marTop w:val="0"/>
      <w:marBottom w:val="0"/>
      <w:divBdr>
        <w:top w:val="none" w:sz="0" w:space="0" w:color="auto"/>
        <w:left w:val="none" w:sz="0" w:space="0" w:color="auto"/>
        <w:bottom w:val="none" w:sz="0" w:space="0" w:color="auto"/>
        <w:right w:val="none" w:sz="0" w:space="0" w:color="auto"/>
      </w:divBdr>
      <w:divsChild>
        <w:div w:id="318075254">
          <w:marLeft w:val="0"/>
          <w:marRight w:val="0"/>
          <w:marTop w:val="150"/>
          <w:marBottom w:val="0"/>
          <w:divBdr>
            <w:top w:val="none" w:sz="0" w:space="0" w:color="auto"/>
            <w:left w:val="none" w:sz="0" w:space="0" w:color="auto"/>
            <w:bottom w:val="none" w:sz="0" w:space="0" w:color="auto"/>
            <w:right w:val="none" w:sz="0" w:space="0" w:color="auto"/>
          </w:divBdr>
          <w:divsChild>
            <w:div w:id="805775350">
              <w:marLeft w:val="-1050"/>
              <w:marRight w:val="0"/>
              <w:marTop w:val="0"/>
              <w:marBottom w:val="0"/>
              <w:divBdr>
                <w:top w:val="none" w:sz="0" w:space="0" w:color="auto"/>
                <w:left w:val="none" w:sz="0" w:space="0" w:color="auto"/>
                <w:bottom w:val="none" w:sz="0" w:space="0" w:color="auto"/>
                <w:right w:val="none" w:sz="0" w:space="0" w:color="auto"/>
              </w:divBdr>
              <w:divsChild>
                <w:div w:id="398864512">
                  <w:marLeft w:val="0"/>
                  <w:marRight w:val="300"/>
                  <w:marTop w:val="0"/>
                  <w:marBottom w:val="0"/>
                  <w:divBdr>
                    <w:top w:val="none" w:sz="0" w:space="0" w:color="auto"/>
                    <w:left w:val="none" w:sz="0" w:space="0" w:color="auto"/>
                    <w:bottom w:val="none" w:sz="0" w:space="0" w:color="auto"/>
                    <w:right w:val="none" w:sz="0" w:space="0" w:color="auto"/>
                  </w:divBdr>
                </w:div>
                <w:div w:id="1072387906">
                  <w:marLeft w:val="1050"/>
                  <w:marRight w:val="0"/>
                  <w:marTop w:val="0"/>
                  <w:marBottom w:val="0"/>
                  <w:divBdr>
                    <w:top w:val="none" w:sz="0" w:space="0" w:color="auto"/>
                    <w:left w:val="none" w:sz="0" w:space="0" w:color="auto"/>
                    <w:bottom w:val="none" w:sz="0" w:space="0" w:color="auto"/>
                    <w:right w:val="none" w:sz="0" w:space="0" w:color="auto"/>
                  </w:divBdr>
                  <w:divsChild>
                    <w:div w:id="487215104">
                      <w:marLeft w:val="0"/>
                      <w:marRight w:val="0"/>
                      <w:marTop w:val="75"/>
                      <w:marBottom w:val="0"/>
                      <w:divBdr>
                        <w:top w:val="none" w:sz="0" w:space="0" w:color="auto"/>
                        <w:left w:val="none" w:sz="0" w:space="0" w:color="auto"/>
                        <w:bottom w:val="none" w:sz="0" w:space="0" w:color="auto"/>
                        <w:right w:val="none" w:sz="0" w:space="0" w:color="auto"/>
                      </w:divBdr>
                      <w:divsChild>
                        <w:div w:id="1935283719">
                          <w:marLeft w:val="0"/>
                          <w:marRight w:val="0"/>
                          <w:marTop w:val="0"/>
                          <w:marBottom w:val="75"/>
                          <w:divBdr>
                            <w:top w:val="none" w:sz="0" w:space="0" w:color="auto"/>
                            <w:left w:val="none" w:sz="0" w:space="0" w:color="auto"/>
                            <w:bottom w:val="single" w:sz="6" w:space="4" w:color="DDDDDD"/>
                            <w:right w:val="none" w:sz="0" w:space="0" w:color="auto"/>
                          </w:divBdr>
                          <w:divsChild>
                            <w:div w:id="798260940">
                              <w:marLeft w:val="0"/>
                              <w:marRight w:val="0"/>
                              <w:marTop w:val="0"/>
                              <w:marBottom w:val="0"/>
                              <w:divBdr>
                                <w:top w:val="none" w:sz="0" w:space="0" w:color="auto"/>
                                <w:left w:val="none" w:sz="0" w:space="0" w:color="auto"/>
                                <w:bottom w:val="none" w:sz="0" w:space="0" w:color="auto"/>
                                <w:right w:val="none" w:sz="0" w:space="0" w:color="auto"/>
                              </w:divBdr>
                            </w:div>
                          </w:divsChild>
                        </w:div>
                        <w:div w:id="5034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465566">
          <w:marLeft w:val="0"/>
          <w:marRight w:val="0"/>
          <w:marTop w:val="0"/>
          <w:marBottom w:val="0"/>
          <w:divBdr>
            <w:top w:val="none" w:sz="0" w:space="0" w:color="auto"/>
            <w:left w:val="none" w:sz="0" w:space="0" w:color="auto"/>
            <w:bottom w:val="none" w:sz="0" w:space="0" w:color="auto"/>
            <w:right w:val="none" w:sz="0" w:space="0" w:color="auto"/>
          </w:divBdr>
          <w:divsChild>
            <w:div w:id="1429228721">
              <w:marLeft w:val="0"/>
              <w:marRight w:val="0"/>
              <w:marTop w:val="0"/>
              <w:marBottom w:val="0"/>
              <w:divBdr>
                <w:top w:val="none" w:sz="0" w:space="0" w:color="auto"/>
                <w:left w:val="none" w:sz="0" w:space="0" w:color="auto"/>
                <w:bottom w:val="none" w:sz="0" w:space="0" w:color="auto"/>
                <w:right w:val="none" w:sz="0" w:space="0" w:color="auto"/>
              </w:divBdr>
              <w:divsChild>
                <w:div w:id="435951296">
                  <w:marLeft w:val="0"/>
                  <w:marRight w:val="0"/>
                  <w:marTop w:val="0"/>
                  <w:marBottom w:val="0"/>
                  <w:divBdr>
                    <w:top w:val="none" w:sz="0" w:space="0" w:color="auto"/>
                    <w:left w:val="none" w:sz="0" w:space="0" w:color="auto"/>
                    <w:bottom w:val="none" w:sz="0" w:space="0" w:color="auto"/>
                    <w:right w:val="none" w:sz="0" w:space="0" w:color="auto"/>
                  </w:divBdr>
                  <w:divsChild>
                    <w:div w:id="1666975478">
                      <w:marLeft w:val="0"/>
                      <w:marRight w:val="0"/>
                      <w:marTop w:val="0"/>
                      <w:marBottom w:val="0"/>
                      <w:divBdr>
                        <w:top w:val="none" w:sz="0" w:space="0" w:color="auto"/>
                        <w:left w:val="none" w:sz="0" w:space="0" w:color="auto"/>
                        <w:bottom w:val="none" w:sz="0" w:space="0" w:color="auto"/>
                        <w:right w:val="none" w:sz="0" w:space="0" w:color="auto"/>
                      </w:divBdr>
                      <w:divsChild>
                        <w:div w:id="148139003">
                          <w:marLeft w:val="0"/>
                          <w:marRight w:val="0"/>
                          <w:marTop w:val="375"/>
                          <w:marBottom w:val="375"/>
                          <w:divBdr>
                            <w:top w:val="none" w:sz="0" w:space="0" w:color="auto"/>
                            <w:left w:val="none" w:sz="0" w:space="0" w:color="auto"/>
                            <w:bottom w:val="none" w:sz="0" w:space="0" w:color="auto"/>
                            <w:right w:val="none" w:sz="0" w:space="0" w:color="auto"/>
                          </w:divBdr>
                          <w:divsChild>
                            <w:div w:id="350838264">
                              <w:marLeft w:val="0"/>
                              <w:marRight w:val="0"/>
                              <w:marTop w:val="0"/>
                              <w:marBottom w:val="0"/>
                              <w:divBdr>
                                <w:top w:val="none" w:sz="0" w:space="0" w:color="auto"/>
                                <w:left w:val="none" w:sz="0" w:space="0" w:color="auto"/>
                                <w:bottom w:val="none" w:sz="0" w:space="0" w:color="auto"/>
                                <w:right w:val="none" w:sz="0" w:space="0" w:color="auto"/>
                              </w:divBdr>
                            </w:div>
                          </w:divsChild>
                        </w:div>
                        <w:div w:id="8412867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ginvestor.net/world-lagging-on-just-transition/" TargetMode="External"/><Relationship Id="rId13" Type="http://schemas.openxmlformats.org/officeDocument/2006/relationships/hyperlink" Target="https://www.esginvestor.net/five-lessons-from-climate-week-nyc-2024/" TargetMode="External"/><Relationship Id="rId18" Type="http://schemas.openxmlformats.org/officeDocument/2006/relationships/hyperlink" Target="https://www.esginvestor.net/tag/funding-gap/" TargetMode="External"/><Relationship Id="rId3" Type="http://schemas.openxmlformats.org/officeDocument/2006/relationships/settings" Target="settings.xml"/><Relationship Id="rId21" Type="http://schemas.openxmlformats.org/officeDocument/2006/relationships/hyperlink" Target="https://www.esginvestor.net/tag/multilateral-development-banks/" TargetMode="External"/><Relationship Id="rId7" Type="http://schemas.openxmlformats.org/officeDocument/2006/relationships/hyperlink" Target="https://meetings.imf.org/en/2024/Annual" TargetMode="External"/><Relationship Id="rId12" Type="http://schemas.openxmlformats.org/officeDocument/2006/relationships/hyperlink" Target="https://www.worldbank.org/en/news/press-release/2024/04/19/new-financing-tools-receive-major-funding-boost" TargetMode="External"/><Relationship Id="rId17" Type="http://schemas.openxmlformats.org/officeDocument/2006/relationships/hyperlink" Target="https://www.esginvestor.net/tag/cop29/" TargetMode="External"/><Relationship Id="rId2" Type="http://schemas.openxmlformats.org/officeDocument/2006/relationships/styles" Target="styles.xml"/><Relationship Id="rId16" Type="http://schemas.openxmlformats.org/officeDocument/2006/relationships/hyperlink" Target="https://www.esginvestor.net/tag/climate-finance/" TargetMode="External"/><Relationship Id="rId20" Type="http://schemas.openxmlformats.org/officeDocument/2006/relationships/hyperlink" Target="https://www.esginvestor.net/tag/global-south/" TargetMode="External"/><Relationship Id="rId1" Type="http://schemas.openxmlformats.org/officeDocument/2006/relationships/numbering" Target="numbering.xml"/><Relationship Id="rId6" Type="http://schemas.openxmlformats.org/officeDocument/2006/relationships/hyperlink" Target="https://www.esginvestor.net/author/alice-tchernookova/" TargetMode="External"/><Relationship Id="rId11" Type="http://schemas.openxmlformats.org/officeDocument/2006/relationships/hyperlink" Target="https://www.worldbank.org/en/news/press-release/2024/04/09/world-bank-group-announces-new-approach-to-measuring-impact"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ungpreporting.org/glossary/civil-society-organizations-csos/" TargetMode="External"/><Relationship Id="rId23" Type="http://schemas.openxmlformats.org/officeDocument/2006/relationships/fontTable" Target="fontTable.xml"/><Relationship Id="rId10" Type="http://schemas.openxmlformats.org/officeDocument/2006/relationships/hyperlink" Target="https://www.climatepolicyinitiative.org/wp-content/uploads/2023/09/How-big-is-the-Net-Zero-financing-gap-2023.pdf" TargetMode="External"/><Relationship Id="rId19" Type="http://schemas.openxmlformats.org/officeDocument/2006/relationships/hyperlink" Target="https://www.esginvestor.net/tag/global-north/" TargetMode="External"/><Relationship Id="rId4" Type="http://schemas.openxmlformats.org/officeDocument/2006/relationships/webSettings" Target="webSettings.xml"/><Relationship Id="rId9" Type="http://schemas.openxmlformats.org/officeDocument/2006/relationships/hyperlink" Target="https://www.esginvestor.net/live/climate-alliance-highlights-challenges-ahead-of-cop29/" TargetMode="External"/><Relationship Id="rId14" Type="http://schemas.openxmlformats.org/officeDocument/2006/relationships/hyperlink" Target="https://www.devcommittee.org/en/devcommittee/statements" TargetMode="External"/><Relationship Id="rId22" Type="http://schemas.openxmlformats.org/officeDocument/2006/relationships/hyperlink" Target="https://www.esginvestor.net/tag/sustainable-financ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1696</Words>
  <Characters>9330</Characters>
  <Application>Microsoft Office Word</Application>
  <DocSecurity>0</DocSecurity>
  <Lines>77</Lines>
  <Paragraphs>22</Paragraphs>
  <ScaleCrop>false</ScaleCrop>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3</cp:revision>
  <dcterms:created xsi:type="dcterms:W3CDTF">2024-10-26T04:16:00Z</dcterms:created>
  <dcterms:modified xsi:type="dcterms:W3CDTF">2024-10-29T02:23:00Z</dcterms:modified>
</cp:coreProperties>
</file>