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FA0D9" w14:textId="77777777" w:rsidR="00A95486" w:rsidRPr="00637005" w:rsidRDefault="00A95486" w:rsidP="00A95486">
      <w:pPr>
        <w:jc w:val="both"/>
        <w:rPr>
          <w:rFonts w:ascii="Abadi" w:hAnsi="Abadi"/>
          <w:sz w:val="28"/>
          <w:szCs w:val="28"/>
        </w:rPr>
      </w:pPr>
      <w:r w:rsidRPr="00637005">
        <w:rPr>
          <w:rFonts w:ascii="Abadi" w:hAnsi="Abadi"/>
          <w:sz w:val="28"/>
          <w:szCs w:val="28"/>
        </w:rPr>
        <w:t>La SEC abre pruebas beta para importantes mejoras de EDGAR</w:t>
      </w:r>
    </w:p>
    <w:p w14:paraId="28BD259F" w14:textId="23281B11" w:rsidR="00A95486" w:rsidRPr="00A95486" w:rsidRDefault="00A95486" w:rsidP="00A95486">
      <w:pPr>
        <w:jc w:val="both"/>
      </w:pPr>
      <w:r w:rsidRPr="00A95486">
        <w:rPr>
          <w:noProof/>
        </w:rPr>
        <w:drawing>
          <wp:inline distT="0" distB="0" distL="0" distR="0" wp14:anchorId="628EE6F8" wp14:editId="3A31CA3B">
            <wp:extent cx="5612130" cy="3747770"/>
            <wp:effectExtent l="0" t="0" r="762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7770"/>
                    </a:xfrm>
                    <a:prstGeom prst="rect">
                      <a:avLst/>
                    </a:prstGeom>
                    <a:noFill/>
                    <a:ln>
                      <a:noFill/>
                    </a:ln>
                  </pic:spPr>
                </pic:pic>
              </a:graphicData>
            </a:graphic>
          </wp:inline>
        </w:drawing>
      </w:r>
    </w:p>
    <w:p w14:paraId="351E09ED" w14:textId="41C2033F" w:rsidR="00D9524F" w:rsidRPr="00A95486" w:rsidRDefault="00D9524F" w:rsidP="00D9524F">
      <w:pPr>
        <w:jc w:val="both"/>
      </w:pPr>
      <w:r w:rsidRPr="00A95486">
        <w:t>Publicado el 7 de octubre de 2024 por</w:t>
      </w:r>
      <w:r>
        <w:t xml:space="preserve"> </w:t>
      </w:r>
      <w:hyperlink r:id="rId6" w:history="1">
        <w:r w:rsidRPr="00A95486">
          <w:rPr>
            <w:rStyle w:val="Hipervnculo"/>
            <w:b/>
            <w:bCs/>
          </w:rPr>
          <w:t>Editor</w:t>
        </w:r>
      </w:hyperlink>
    </w:p>
    <w:p w14:paraId="7B59063F" w14:textId="77777777" w:rsidR="00A95486" w:rsidRPr="00A95486" w:rsidRDefault="00A95486" w:rsidP="00A95486">
      <w:pPr>
        <w:jc w:val="both"/>
      </w:pPr>
      <w:r w:rsidRPr="00A95486">
        <w:t>La semana pasada, la Comisión de Bolsa y Valores de Estados Unidos (SEC) publicó una serie de modificaciones diseñadas para mejorar EDGAR, su sistema de recopilación, análisis y recuperación de datos electrónicos. Los cambios, denominados colectivamente EDGAR Next, tienen como objetivo mejorar la experiencia de los declarantes que acceden a la plataforma.</w:t>
      </w:r>
    </w:p>
    <w:p w14:paraId="215195A6" w14:textId="77777777" w:rsidR="00A95486" w:rsidRPr="00A95486" w:rsidRDefault="00A95486" w:rsidP="00A95486">
      <w:pPr>
        <w:jc w:val="both"/>
      </w:pPr>
      <w:r w:rsidRPr="00A95486">
        <w:t>La iniciativa EDGAR Next incluye protocolos de seguridad mejorados, herramientas de gestión de cuentas actualizadas y un identificador de formulario modernizado para facilitar el acceso. EDGAR Next también presenta nuevas API que permiten interacciones automatizadas con el sistema, lo que reduce la entrada manual y aumenta la eficiencia en el envío, la recuperación y la gestión de archivos.</w:t>
      </w:r>
    </w:p>
    <w:p w14:paraId="51E6D766" w14:textId="77777777" w:rsidR="00A95486" w:rsidRPr="00A95486" w:rsidRDefault="00A95486" w:rsidP="00A95486">
      <w:pPr>
        <w:jc w:val="both"/>
      </w:pPr>
      <w:r w:rsidRPr="00A95486">
        <w:t>Los solicitantes ahora pueden probar estas funciones en el entorno beta para prepararse para la inscripción en marzo de 2025 y la próxima fecha límite de cumplimiento en septiembre de 2025.</w:t>
      </w:r>
    </w:p>
    <w:p w14:paraId="1FE23295" w14:textId="77777777" w:rsidR="00A95486" w:rsidRPr="00A95486" w:rsidRDefault="00A95486" w:rsidP="00A95486">
      <w:pPr>
        <w:jc w:val="both"/>
      </w:pPr>
      <w:r w:rsidRPr="00A95486">
        <w:t xml:space="preserve">EDGAR ha sido durante mucho tiempo la columna vertebral de las presentaciones electrónicas de la SEC, y estas actualizaciones parecen ser un paso útil para mejorar la usabilidad y la seguridad del sistema. La implementación gradual debería dar tiempo para realizar pruebas preparatorias, ofreciendo a los solicitantes una serie de recursos para navegar por la transición. Dada la creciente demanda de medidas de seguridad mejoradas y procesos de presentación más eficientes, EDGAR Next es un próximo paso bienvenido para el proceso de presentación de solicitudes de la SEC; </w:t>
      </w:r>
      <w:r w:rsidRPr="00A95486">
        <w:lastRenderedPageBreak/>
        <w:t>alentamos a nuestros lectores de presentaciones de solicitudes en EE. UU. a que prueben las nuevas características en esta versión beta.</w:t>
      </w:r>
    </w:p>
    <w:p w14:paraId="43BB3F64" w14:textId="7ECD7C15" w:rsidR="00A95486" w:rsidRPr="00A95486" w:rsidRDefault="00A95486" w:rsidP="00A95486">
      <w:pPr>
        <w:jc w:val="both"/>
      </w:pPr>
      <w:r w:rsidRPr="00A95486">
        <w:t>Para ayudar con la transición, la SEC está organizando</w:t>
      </w:r>
      <w:r w:rsidR="00D9524F">
        <w:t xml:space="preserve"> </w:t>
      </w:r>
      <w:hyperlink r:id="rId7" w:tgtFrame="_blank" w:history="1">
        <w:r w:rsidRPr="00A95486">
          <w:rPr>
            <w:rStyle w:val="Hipervnculo"/>
          </w:rPr>
          <w:t>seminarios web en vivo y sesiones de preguntas y respuestas</w:t>
        </w:r>
      </w:hyperlink>
      <w:r w:rsidR="00D9524F">
        <w:t xml:space="preserve"> </w:t>
      </w:r>
      <w:r w:rsidRPr="00A95486">
        <w:t>para los equipos de desarrollo durante todo octubre. También puede consultar las declaraciones de EDGAR Next</w:t>
      </w:r>
      <w:r w:rsidR="00D9524F">
        <w:t xml:space="preserve"> </w:t>
      </w:r>
      <w:hyperlink r:id="rId8" w:tgtFrame="_blank" w:history="1">
        <w:r w:rsidRPr="00A95486">
          <w:rPr>
            <w:rStyle w:val="Hipervnculo"/>
          </w:rPr>
          <w:t>aquí</w:t>
        </w:r>
      </w:hyperlink>
      <w:r w:rsidRPr="00A95486">
        <w:t>.</w:t>
      </w:r>
    </w:p>
    <w:p w14:paraId="017BC130" w14:textId="61F7A4A0" w:rsidR="00A95486" w:rsidRPr="00637005" w:rsidRDefault="00637005" w:rsidP="00A95486">
      <w:pPr>
        <w:jc w:val="both"/>
      </w:pPr>
      <w:hyperlink r:id="rId9" w:history="1">
        <w:r w:rsidR="00A95486" w:rsidRPr="00637005">
          <w:rPr>
            <w:rStyle w:val="Hipervnculo"/>
          </w:rPr>
          <w:t>EDGAR NEXT</w:t>
        </w:r>
        <w:r w:rsidR="00D9524F" w:rsidRPr="00637005">
          <w:rPr>
            <w:rStyle w:val="Hipervnculo"/>
          </w:rPr>
          <w:t xml:space="preserve"> </w:t>
        </w:r>
      </w:hyperlink>
      <w:hyperlink r:id="rId10" w:history="1">
        <w:r w:rsidR="00A95486" w:rsidRPr="00637005">
          <w:rPr>
            <w:rStyle w:val="Hipervnculo"/>
          </w:rPr>
          <w:t>SEC</w:t>
        </w:r>
        <w:r w:rsidR="00D9524F" w:rsidRPr="00637005">
          <w:rPr>
            <w:rStyle w:val="Hipervnculo"/>
          </w:rPr>
          <w:t xml:space="preserve"> </w:t>
        </w:r>
      </w:hyperlink>
      <w:hyperlink r:id="rId11" w:history="1">
        <w:r w:rsidR="00A95486" w:rsidRPr="00637005">
          <w:rPr>
            <w:rStyle w:val="Hipervnculo"/>
          </w:rPr>
          <w:t>EE.UU.</w:t>
        </w:r>
      </w:hyperlink>
    </w:p>
    <w:p w14:paraId="5ED029BA" w14:textId="72DDAC32" w:rsidR="00A95486" w:rsidRDefault="00A95486" w:rsidP="00A95486">
      <w:pPr>
        <w:jc w:val="both"/>
      </w:pPr>
    </w:p>
    <w:p w14:paraId="3D23DC05" w14:textId="23BC8E59" w:rsidR="00A95486" w:rsidRDefault="00A95486" w:rsidP="00A95486">
      <w:pPr>
        <w:jc w:val="both"/>
      </w:pPr>
    </w:p>
    <w:p w14:paraId="13ADC0B4" w14:textId="0BC6811A" w:rsidR="00A95486" w:rsidRDefault="00A95486" w:rsidP="00A95486">
      <w:pPr>
        <w:jc w:val="both"/>
      </w:pPr>
    </w:p>
    <w:p w14:paraId="59536F67" w14:textId="70E59BA8" w:rsidR="00A95486" w:rsidRDefault="00A95486" w:rsidP="00A95486">
      <w:pPr>
        <w:jc w:val="both"/>
      </w:pPr>
    </w:p>
    <w:p w14:paraId="339162AF" w14:textId="55E91CFA" w:rsidR="00A95486" w:rsidRDefault="00A95486" w:rsidP="00A95486">
      <w:pPr>
        <w:jc w:val="both"/>
      </w:pPr>
    </w:p>
    <w:p w14:paraId="6B098B91" w14:textId="683C3754" w:rsidR="00DD23FA" w:rsidRDefault="00DD23FA" w:rsidP="00A95486">
      <w:pPr>
        <w:jc w:val="both"/>
      </w:pPr>
    </w:p>
    <w:p w14:paraId="692382E1" w14:textId="1260EB20" w:rsidR="00DD23FA" w:rsidRDefault="00DD23FA" w:rsidP="00A95486">
      <w:pPr>
        <w:jc w:val="both"/>
      </w:pPr>
    </w:p>
    <w:p w14:paraId="2B28E7FE" w14:textId="5B58CC0B" w:rsidR="00DD23FA" w:rsidRDefault="00DD23FA" w:rsidP="00A95486">
      <w:pPr>
        <w:jc w:val="both"/>
      </w:pPr>
    </w:p>
    <w:p w14:paraId="7898BADA" w14:textId="16453CE0" w:rsidR="00DD23FA" w:rsidRDefault="00DD23FA" w:rsidP="00A95486">
      <w:pPr>
        <w:jc w:val="both"/>
      </w:pPr>
    </w:p>
    <w:p w14:paraId="793D24A1" w14:textId="39B32ABA" w:rsidR="00DD23FA" w:rsidRDefault="00DD23FA" w:rsidP="00A95486">
      <w:pPr>
        <w:jc w:val="both"/>
      </w:pPr>
    </w:p>
    <w:p w14:paraId="297AED53" w14:textId="6BEF5521" w:rsidR="00DD23FA" w:rsidRDefault="00DD23FA" w:rsidP="00A95486">
      <w:pPr>
        <w:jc w:val="both"/>
      </w:pPr>
    </w:p>
    <w:p w14:paraId="57A1B3DF" w14:textId="717E469A" w:rsidR="00DD23FA" w:rsidRDefault="00DD23FA" w:rsidP="00A95486">
      <w:pPr>
        <w:jc w:val="both"/>
      </w:pPr>
    </w:p>
    <w:p w14:paraId="146784EC" w14:textId="626318B1" w:rsidR="00DD23FA" w:rsidRDefault="00DD23FA" w:rsidP="00A95486">
      <w:pPr>
        <w:jc w:val="both"/>
      </w:pPr>
    </w:p>
    <w:p w14:paraId="0EB718AB" w14:textId="213A0DD9" w:rsidR="00DD23FA" w:rsidRDefault="00DD23FA" w:rsidP="00A95486">
      <w:pPr>
        <w:jc w:val="both"/>
      </w:pPr>
    </w:p>
    <w:p w14:paraId="4B31FA60" w14:textId="77777777" w:rsidR="00DD23FA" w:rsidRDefault="00DD23FA" w:rsidP="00A95486">
      <w:pPr>
        <w:jc w:val="both"/>
      </w:pPr>
    </w:p>
    <w:p w14:paraId="34C61702" w14:textId="2E6D8790" w:rsidR="00A95486" w:rsidRDefault="00A95486" w:rsidP="00A95486">
      <w:pPr>
        <w:jc w:val="both"/>
      </w:pPr>
    </w:p>
    <w:p w14:paraId="3AF65F01" w14:textId="18A76BFA" w:rsidR="00A95486" w:rsidRDefault="00A95486" w:rsidP="00A95486">
      <w:pPr>
        <w:jc w:val="both"/>
      </w:pPr>
    </w:p>
    <w:p w14:paraId="69E61BA7" w14:textId="3BBFBA99" w:rsidR="00A95486" w:rsidRDefault="00A95486" w:rsidP="00A95486">
      <w:pPr>
        <w:jc w:val="both"/>
      </w:pPr>
    </w:p>
    <w:p w14:paraId="45664CC2" w14:textId="747368DC" w:rsidR="00A95486" w:rsidRDefault="00A95486" w:rsidP="00A95486">
      <w:pPr>
        <w:jc w:val="both"/>
      </w:pPr>
    </w:p>
    <w:p w14:paraId="0A8ABEDB" w14:textId="07C87FA6" w:rsidR="00D9524F" w:rsidRDefault="00D9524F" w:rsidP="00A95486">
      <w:pPr>
        <w:jc w:val="both"/>
      </w:pPr>
    </w:p>
    <w:p w14:paraId="31D5BD9A" w14:textId="6FD77C8F" w:rsidR="00D9524F" w:rsidRDefault="00D9524F" w:rsidP="00A95486">
      <w:pPr>
        <w:jc w:val="both"/>
      </w:pPr>
    </w:p>
    <w:p w14:paraId="38D25BF5" w14:textId="4ACD2F1A" w:rsidR="00D9524F" w:rsidRDefault="00D9524F" w:rsidP="00A95486">
      <w:pPr>
        <w:jc w:val="both"/>
      </w:pPr>
    </w:p>
    <w:p w14:paraId="3C94DECC" w14:textId="77777777" w:rsidR="00637005" w:rsidRDefault="00637005" w:rsidP="00A95486">
      <w:pPr>
        <w:jc w:val="both"/>
      </w:pPr>
    </w:p>
    <w:p w14:paraId="736B63AB" w14:textId="77777777" w:rsidR="00DD23FA" w:rsidRDefault="00DD23FA" w:rsidP="00A95486">
      <w:pPr>
        <w:jc w:val="both"/>
      </w:pPr>
    </w:p>
    <w:p w14:paraId="6A4D9725" w14:textId="37935320" w:rsidR="00A95486" w:rsidRDefault="00A95486" w:rsidP="00A95486">
      <w:pPr>
        <w:jc w:val="both"/>
      </w:pPr>
      <w:r w:rsidRPr="00A95486">
        <w:rPr>
          <w:noProof/>
        </w:rPr>
        <w:lastRenderedPageBreak/>
        <w:drawing>
          <wp:inline distT="0" distB="0" distL="0" distR="0" wp14:anchorId="29E8B3F7" wp14:editId="7C94032F">
            <wp:extent cx="5612130" cy="90043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900430"/>
                    </a:xfrm>
                    <a:prstGeom prst="rect">
                      <a:avLst/>
                    </a:prstGeom>
                  </pic:spPr>
                </pic:pic>
              </a:graphicData>
            </a:graphic>
          </wp:inline>
        </w:drawing>
      </w:r>
    </w:p>
    <w:p w14:paraId="7695F957" w14:textId="77777777" w:rsidR="00A95486" w:rsidRPr="00A95486" w:rsidRDefault="00A95486" w:rsidP="00A95486">
      <w:pPr>
        <w:jc w:val="both"/>
        <w:rPr>
          <w:b/>
          <w:bCs/>
        </w:rPr>
      </w:pPr>
      <w:r w:rsidRPr="00A95486">
        <w:rPr>
          <w:b/>
          <w:bCs/>
        </w:rPr>
        <w:t>Declaración sobre EDGAR</w:t>
      </w:r>
    </w:p>
    <w:p w14:paraId="728B6BEC" w14:textId="77777777" w:rsidR="00A95486" w:rsidRPr="00A95486" w:rsidRDefault="00637005" w:rsidP="00A95486">
      <w:pPr>
        <w:jc w:val="both"/>
        <w:rPr>
          <w:b/>
          <w:bCs/>
        </w:rPr>
      </w:pPr>
      <w:hyperlink r:id="rId13" w:history="1">
        <w:r w:rsidR="00A95486" w:rsidRPr="00A95486">
          <w:rPr>
            <w:rStyle w:val="Hipervnculo"/>
            <w:b/>
            <w:bCs/>
          </w:rPr>
          <w:t>Presidente Gary Gensler</w:t>
        </w:r>
      </w:hyperlink>
    </w:p>
    <w:p w14:paraId="69B83D89" w14:textId="77777777" w:rsidR="00A95486" w:rsidRPr="00A95486" w:rsidRDefault="00A95486" w:rsidP="00A95486">
      <w:pPr>
        <w:jc w:val="both"/>
      </w:pPr>
      <w:r w:rsidRPr="00A95486">
        <w:t>27 de septiembre de 2024</w:t>
      </w:r>
    </w:p>
    <w:p w14:paraId="5C1D93E6" w14:textId="77777777" w:rsidR="00A95486" w:rsidRPr="00A95486" w:rsidRDefault="00A95486" w:rsidP="00A95486">
      <w:pPr>
        <w:jc w:val="both"/>
      </w:pPr>
      <w:r w:rsidRPr="00A95486">
        <w:t>Hoy, la Comisión aprobó modificaciones relacionadas con el inicio de sesión, la contraseña y otros protocolos de acceso a las cuentas para los declarantes y otros inscriptos que utilicen el Sistema electrónico de recopilación, análisis y recuperación de datos, conocido comúnmente como EDGAR. Me complace apoyar estas modificaciones porque mejoran la seguridad de EDGAR y mejoran aún más el acceso de los declarantes al sistema EDGAR.</w:t>
      </w:r>
    </w:p>
    <w:p w14:paraId="75BFC44E" w14:textId="77777777" w:rsidR="00A95486" w:rsidRPr="00A95486" w:rsidRDefault="00A95486" w:rsidP="00A95486">
      <w:pPr>
        <w:jc w:val="both"/>
      </w:pPr>
      <w:r w:rsidRPr="00A95486">
        <w:t>El público y la SEC se han beneficiado desde hace mucho tiempo del sistema de presentación electrónica de declaraciones EDGAR. Hoy en día, EDGAR es una biblioteca rica y accesible tanto para inversores como para solicitantes de declaraciones. A diferencia de las plataformas de streaming y otras plataformas de suscripción, EDGAR está disponible para el público de forma gratuita. Creo que es una de las grandes innovaciones de la SEC.</w:t>
      </w:r>
    </w:p>
    <w:p w14:paraId="58DAD7CD" w14:textId="77777777" w:rsidR="00A95486" w:rsidRPr="00A95486" w:rsidRDefault="00A95486" w:rsidP="00A95486">
      <w:pPr>
        <w:jc w:val="both"/>
      </w:pPr>
      <w:r w:rsidRPr="00A95486">
        <w:t>Mucho ha cambiado en las tres décadas transcurridas desde que la Comisión exigió por primera vez la presentación obligatoria de documentos EDGAR en 1993. </w:t>
      </w:r>
      <w:bookmarkStart w:id="0" w:name="_ftnref1"/>
      <w:r w:rsidRPr="00A95486">
        <w:fldChar w:fldCharType="begin"/>
      </w:r>
      <w:r w:rsidRPr="00A95486">
        <w:instrText xml:space="preserve"> HYPERLINK "https://www.sec.gov/newsroom/speeches-statements/gensler-statement-edgar-next-092724" \l "_ftn1" \o "" </w:instrText>
      </w:r>
      <w:r w:rsidRPr="00A95486">
        <w:fldChar w:fldCharType="separate"/>
      </w:r>
      <w:r w:rsidRPr="00A95486">
        <w:rPr>
          <w:rStyle w:val="Hipervnculo"/>
        </w:rPr>
        <w:t>[1]</w:t>
      </w:r>
      <w:r w:rsidRPr="00A95486">
        <w:fldChar w:fldCharType="end"/>
      </w:r>
      <w:bookmarkEnd w:id="0"/>
      <w:r w:rsidRPr="00A95486">
        <w:t> EDGAR ha sobrevivido al auge de Internet, las redes sociales y el contenido en streaming. También hemos aprendido mucho sobre seguridad de datos y protección de contraseñas en ese tiempo. Para mantenernos al día con los mercados, la tecnología y los modelos de negocio en constante evolución, hemos actualizado EDGAR a lo largo de los años. Sin embargo, nuestra actualización significativa más reciente de los protocolos de inicio de sesión, contraseña y acceso a otras cuentas de EDGAR fue hace más de una década.</w:t>
      </w:r>
    </w:p>
    <w:p w14:paraId="5E95A9DD" w14:textId="32BAD4CC" w:rsidR="00A95486" w:rsidRPr="00A95486" w:rsidRDefault="00A95486" w:rsidP="00A95486">
      <w:pPr>
        <w:jc w:val="both"/>
      </w:pPr>
      <w:r w:rsidRPr="00A95486">
        <w:t xml:space="preserve">Las modificaciones de hoy son un paso importante para los protocolos de acceso a las cuentas de EDGAR. Con los requisitos anteriores, los solicitantes de registro tenían un nombre de usuario por empresa. Esto es como tener una familia que comparte el mismo nombre de usuario y contraseña para una aplicación de transmisión de películas. Ya saben a dónde puede llevar eso. Ese simplemente no es el sistema más seguro (tanto para los solicitantes como para la Comisión) cuando se trata de información relacionada con la divulgación financiera. Por el contrario, las modificaciones de hoy protegen aún más los protocolos de inicio de sesión al exigir que cada persona que presente algo en EDGAR inicie sesión con credenciales individuales y utilice autenticación </w:t>
      </w:r>
      <w:r w:rsidR="00D9524F" w:rsidRPr="00A95486">
        <w:t>multifactorial</w:t>
      </w:r>
      <w:r w:rsidRPr="00A95486">
        <w:t>.</w:t>
      </w:r>
    </w:p>
    <w:p w14:paraId="2EA26DAF" w14:textId="77777777" w:rsidR="00A95486" w:rsidRPr="00A95486" w:rsidRDefault="00A95486" w:rsidP="00A95486">
      <w:pPr>
        <w:jc w:val="both"/>
      </w:pPr>
      <w:r w:rsidRPr="00A95486">
        <w:t xml:space="preserve">La Oficina Comercial de EDGAR de la SEC abrirá al público una versión beta para que los declarantes la prueben y reciban sus comentarios, que incluirá un conjunto de interfaces de programación de aplicaciones (API) opcionales. Estas API ayudarán a mejorar la forma en que los declarantes, incluidos los registrantes y sus agentes, pueden acceder a EDGAR, recuperar información y </w:t>
      </w:r>
      <w:r w:rsidRPr="00A95486">
        <w:lastRenderedPageBreak/>
        <w:t>presentar declaraciones en bloque. Estos cambios promueven la eficiencia tanto para los declarantes como para la Comisión.</w:t>
      </w:r>
    </w:p>
    <w:p w14:paraId="2856A9B8" w14:textId="77777777" w:rsidR="00A95486" w:rsidRPr="00A95486" w:rsidRDefault="00A95486" w:rsidP="00A95486">
      <w:pPr>
        <w:jc w:val="both"/>
      </w:pPr>
      <w:r w:rsidRPr="00A95486">
        <w:t>Las modificaciones finales incluyen una serie de cambios en respuesta a los comentarios de los comentaristas. Por ejemplo, el período de gracia para que los declarantes realicen la confirmación anual se extendió de dos semanas a tres meses. Los declarantes tendrán seis meses para prepararse para el cumplimiento, en lugar de un mes como se propuso. Seguirán teniendo seis meses para inscribirse en EDGAR utilizando los nuevos protocolos de inicio de sesión, como se considera en la propuesta, pero las modificaciones finales incorporan un período adicional de tres meses para inscribirse antes de realizar presentaciones después de la fecha de cumplimiento. Después de ese punto, los declarantes que no se hayan inscrito deberán enviar un nuevo Formulario de identificación para realizar presentaciones.</w:t>
      </w:r>
    </w:p>
    <w:p w14:paraId="1FB9B4D6" w14:textId="77777777" w:rsidR="00A95486" w:rsidRPr="00A95486" w:rsidRDefault="00A95486" w:rsidP="00A95486">
      <w:pPr>
        <w:jc w:val="both"/>
      </w:pPr>
      <w:r w:rsidRPr="00A95486">
        <w:t>En conjunto, estas modificaciones benefician por igual a la Comisión, a los declarantes y a los inversores.</w:t>
      </w:r>
    </w:p>
    <w:p w14:paraId="325B4A0A" w14:textId="77777777" w:rsidR="00A95486" w:rsidRPr="00A95486" w:rsidRDefault="00A95486" w:rsidP="00A95486">
      <w:pPr>
        <w:jc w:val="both"/>
      </w:pPr>
      <w:r w:rsidRPr="00A95486">
        <w:t>Me gustaría agradecer al personal de la SEC por trabajar en este asunto, incluidos:</w:t>
      </w:r>
    </w:p>
    <w:p w14:paraId="7334225E" w14:textId="77777777" w:rsidR="00A95486" w:rsidRPr="00A95486" w:rsidRDefault="00A95486" w:rsidP="00A95486">
      <w:pPr>
        <w:numPr>
          <w:ilvl w:val="0"/>
          <w:numId w:val="1"/>
        </w:numPr>
        <w:jc w:val="both"/>
      </w:pPr>
      <w:r w:rsidRPr="00A95486">
        <w:t>Jed Hickman, Rosemary Filou, Dan Chang, Laurita Finch, Margie Marrero, Jane Patterson, Gina Pearson, Lidian Pereira, Melinda Hobbs, Meddie Brown, Freddie Ntim, Sherwin Joseph, Lisa Butler, Tayeb Quereshi, Tina Herring, Pachie Perrow en la oficina comercial de EDGAR;</w:t>
      </w:r>
    </w:p>
    <w:p w14:paraId="32176DF4" w14:textId="77777777" w:rsidR="00A95486" w:rsidRPr="00A95486" w:rsidRDefault="00A95486" w:rsidP="00A95486">
      <w:pPr>
        <w:numPr>
          <w:ilvl w:val="0"/>
          <w:numId w:val="1"/>
        </w:numPr>
        <w:jc w:val="both"/>
      </w:pPr>
      <w:r w:rsidRPr="00A95486">
        <w:t>Jessica Wachter, Oliver Richard, Charles Woodworth, Wei Liu, Ralph Bien-Aime y Caroline Schulte en la División de Análisis Económico y de Riesgo; y</w:t>
      </w:r>
    </w:p>
    <w:p w14:paraId="47E20295" w14:textId="77777777" w:rsidR="00A95486" w:rsidRPr="00A95486" w:rsidRDefault="00A95486" w:rsidP="00A95486">
      <w:pPr>
        <w:numPr>
          <w:ilvl w:val="0"/>
          <w:numId w:val="1"/>
        </w:numPr>
        <w:jc w:val="both"/>
      </w:pPr>
      <w:r w:rsidRPr="00A95486">
        <w:t>Bryant Morris, Peggy Kim, Joe Valerio y Eduardo Alemán en la Oficina del Asesor General.</w:t>
      </w:r>
    </w:p>
    <w:p w14:paraId="4489D8E8" w14:textId="77777777" w:rsidR="00A95486" w:rsidRPr="00A95486" w:rsidRDefault="00637005" w:rsidP="00A95486">
      <w:pPr>
        <w:jc w:val="both"/>
      </w:pPr>
      <w:r>
        <w:pict w14:anchorId="5960EDF7">
          <v:rect id="_x0000_i1025" style="width:133.95pt;height:0" o:hrpct="330" o:hrstd="t" o:hr="t" fillcolor="#a0a0a0" stroked="f"/>
        </w:pict>
      </w:r>
    </w:p>
    <w:bookmarkStart w:id="1" w:name="_ftn1"/>
    <w:p w14:paraId="775320C2" w14:textId="2660F8BA" w:rsidR="00A95486" w:rsidRPr="00A95486" w:rsidRDefault="00A95486" w:rsidP="00A95486">
      <w:pPr>
        <w:jc w:val="both"/>
      </w:pPr>
      <w:r w:rsidRPr="00A95486">
        <w:fldChar w:fldCharType="begin"/>
      </w:r>
      <w:r w:rsidRPr="00A95486">
        <w:instrText xml:space="preserve"> HYPERLINK "https://www.sec.gov/newsroom/speeches-statements/gensler-statement-edgar-next-092724" \l "_ftnref1" \o "" </w:instrText>
      </w:r>
      <w:r w:rsidRPr="00A95486">
        <w:fldChar w:fldCharType="separate"/>
      </w:r>
      <w:r w:rsidRPr="00A95486">
        <w:rPr>
          <w:rStyle w:val="Hipervnculo"/>
        </w:rPr>
        <w:t>[1]</w:t>
      </w:r>
      <w:r w:rsidRPr="00A95486">
        <w:fldChar w:fldCharType="end"/>
      </w:r>
      <w:bookmarkEnd w:id="1"/>
      <w:r w:rsidR="00D9524F">
        <w:t xml:space="preserve"> </w:t>
      </w:r>
      <w:r w:rsidRPr="00A95486">
        <w:rPr>
          <w:i/>
          <w:iCs/>
        </w:rPr>
        <w:t>Véase</w:t>
      </w:r>
      <w:r w:rsidR="00D9524F">
        <w:t xml:space="preserve"> </w:t>
      </w:r>
      <w:r w:rsidRPr="00A95486">
        <w:t>Comisión de Bolsa y Valores, “Informe de situación de EDGAR” (31 de diciembre de 1993).</w:t>
      </w:r>
      <w:r w:rsidR="00D9524F">
        <w:t xml:space="preserve"> </w:t>
      </w:r>
      <w:r w:rsidRPr="00A95486">
        <w:rPr>
          <w:i/>
          <w:iCs/>
        </w:rPr>
        <w:t>Por ejemplo,</w:t>
      </w:r>
      <w:r w:rsidR="00D9524F">
        <w:t xml:space="preserve"> </w:t>
      </w:r>
      <w:r w:rsidRPr="00A95486">
        <w:t>“Tres grupos de declarantes obligados se incorporaron gradualmente al sistema EDGAR… Estos tres grupos, junto con el grupo de incorporación gradual 1, que consistía en antiguos declarantes del sistema piloto que comenzaron a presentar declaraciones en vivo de manera obligatoria el 26 de abril de 1993 (más algunos voluntarios), conforman el importante grupo de prueba ordenado por el Congreso”.</w:t>
      </w:r>
    </w:p>
    <w:p w14:paraId="4B1CA292" w14:textId="41AD47F4" w:rsidR="00A95486" w:rsidRPr="00A95486" w:rsidRDefault="00A95486" w:rsidP="00A95486">
      <w:pPr>
        <w:jc w:val="both"/>
      </w:pPr>
      <w:r w:rsidRPr="00A95486">
        <w:t>Última revisión o actualización:</w:t>
      </w:r>
      <w:r w:rsidR="00D9524F">
        <w:t xml:space="preserve"> </w:t>
      </w:r>
      <w:r w:rsidRPr="00A95486">
        <w:t>27 de septiembre de 2024</w:t>
      </w:r>
    </w:p>
    <w:p w14:paraId="1A2FA1FA" w14:textId="05319371" w:rsidR="00A95486" w:rsidRDefault="00A95486" w:rsidP="00A95486">
      <w:pPr>
        <w:jc w:val="both"/>
      </w:pPr>
      <w:r w:rsidRPr="00A95486">
        <w:rPr>
          <w:noProof/>
        </w:rPr>
        <w:lastRenderedPageBreak/>
        <w:drawing>
          <wp:inline distT="0" distB="0" distL="0" distR="0" wp14:anchorId="4922B458" wp14:editId="0503FDF0">
            <wp:extent cx="5612130" cy="259524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595245"/>
                    </a:xfrm>
                    <a:prstGeom prst="rect">
                      <a:avLst/>
                    </a:prstGeom>
                  </pic:spPr>
                </pic:pic>
              </a:graphicData>
            </a:graphic>
          </wp:inline>
        </w:drawing>
      </w:r>
    </w:p>
    <w:p w14:paraId="59F212D1" w14:textId="77777777" w:rsidR="00A95486" w:rsidRDefault="00A95486" w:rsidP="00A95486">
      <w:pPr>
        <w:jc w:val="both"/>
      </w:pPr>
    </w:p>
    <w:sectPr w:rsidR="00A954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27566"/>
    <w:multiLevelType w:val="multilevel"/>
    <w:tmpl w:val="10C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86"/>
    <w:rsid w:val="00637005"/>
    <w:rsid w:val="00A95486"/>
    <w:rsid w:val="00D9524F"/>
    <w:rsid w:val="00DD23FA"/>
    <w:rsid w:val="00FB0C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EE79E5"/>
  <w15:chartTrackingRefBased/>
  <w15:docId w15:val="{7F86D278-7FC3-40F8-99C2-24261513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95486"/>
    <w:rPr>
      <w:color w:val="0563C1" w:themeColor="hyperlink"/>
      <w:u w:val="single"/>
    </w:rPr>
  </w:style>
  <w:style w:type="character" w:styleId="Mencinsinresolver">
    <w:name w:val="Unresolved Mention"/>
    <w:basedOn w:val="Fuentedeprrafopredeter"/>
    <w:uiPriority w:val="99"/>
    <w:semiHidden/>
    <w:unhideWhenUsed/>
    <w:rsid w:val="00A95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6007">
      <w:bodyDiv w:val="1"/>
      <w:marLeft w:val="0"/>
      <w:marRight w:val="0"/>
      <w:marTop w:val="0"/>
      <w:marBottom w:val="0"/>
      <w:divBdr>
        <w:top w:val="none" w:sz="0" w:space="0" w:color="auto"/>
        <w:left w:val="none" w:sz="0" w:space="0" w:color="auto"/>
        <w:bottom w:val="none" w:sz="0" w:space="0" w:color="auto"/>
        <w:right w:val="none" w:sz="0" w:space="0" w:color="auto"/>
      </w:divBdr>
      <w:divsChild>
        <w:div w:id="1675064608">
          <w:marLeft w:val="0"/>
          <w:marRight w:val="0"/>
          <w:marTop w:val="0"/>
          <w:marBottom w:val="0"/>
          <w:divBdr>
            <w:top w:val="none" w:sz="0" w:space="0" w:color="auto"/>
            <w:left w:val="none" w:sz="0" w:space="0" w:color="auto"/>
            <w:bottom w:val="none" w:sz="0" w:space="0" w:color="auto"/>
            <w:right w:val="none" w:sz="0" w:space="0" w:color="auto"/>
          </w:divBdr>
          <w:divsChild>
            <w:div w:id="238058037">
              <w:marLeft w:val="0"/>
              <w:marRight w:val="0"/>
              <w:marTop w:val="0"/>
              <w:marBottom w:val="0"/>
              <w:divBdr>
                <w:top w:val="none" w:sz="0" w:space="0" w:color="auto"/>
                <w:left w:val="none" w:sz="0" w:space="0" w:color="auto"/>
                <w:bottom w:val="none" w:sz="0" w:space="0" w:color="auto"/>
                <w:right w:val="none" w:sz="0" w:space="0" w:color="auto"/>
              </w:divBdr>
            </w:div>
          </w:divsChild>
        </w:div>
        <w:div w:id="509611506">
          <w:marLeft w:val="0"/>
          <w:marRight w:val="0"/>
          <w:marTop w:val="0"/>
          <w:marBottom w:val="0"/>
          <w:divBdr>
            <w:top w:val="none" w:sz="0" w:space="0" w:color="auto"/>
            <w:left w:val="none" w:sz="0" w:space="0" w:color="auto"/>
            <w:bottom w:val="none" w:sz="0" w:space="0" w:color="auto"/>
            <w:right w:val="none" w:sz="0" w:space="0" w:color="auto"/>
          </w:divBdr>
          <w:divsChild>
            <w:div w:id="680930775">
              <w:marLeft w:val="0"/>
              <w:marRight w:val="0"/>
              <w:marTop w:val="0"/>
              <w:marBottom w:val="0"/>
              <w:divBdr>
                <w:top w:val="none" w:sz="0" w:space="0" w:color="auto"/>
                <w:left w:val="none" w:sz="0" w:space="0" w:color="auto"/>
                <w:bottom w:val="none" w:sz="0" w:space="0" w:color="auto"/>
                <w:right w:val="none" w:sz="0" w:space="0" w:color="auto"/>
              </w:divBdr>
              <w:divsChild>
                <w:div w:id="1418401691">
                  <w:marLeft w:val="0"/>
                  <w:marRight w:val="0"/>
                  <w:marTop w:val="0"/>
                  <w:marBottom w:val="0"/>
                  <w:divBdr>
                    <w:top w:val="none" w:sz="0" w:space="0" w:color="auto"/>
                    <w:left w:val="none" w:sz="0" w:space="0" w:color="auto"/>
                    <w:bottom w:val="none" w:sz="0" w:space="0" w:color="auto"/>
                    <w:right w:val="none" w:sz="0" w:space="0" w:color="auto"/>
                  </w:divBdr>
                  <w:divsChild>
                    <w:div w:id="21060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2175">
              <w:marLeft w:val="0"/>
              <w:marRight w:val="0"/>
              <w:marTop w:val="0"/>
              <w:marBottom w:val="0"/>
              <w:divBdr>
                <w:top w:val="none" w:sz="0" w:space="0" w:color="auto"/>
                <w:left w:val="none" w:sz="0" w:space="0" w:color="auto"/>
                <w:bottom w:val="none" w:sz="0" w:space="0" w:color="auto"/>
                <w:right w:val="none" w:sz="0" w:space="0" w:color="auto"/>
              </w:divBdr>
              <w:divsChild>
                <w:div w:id="650910920">
                  <w:marLeft w:val="0"/>
                  <w:marRight w:val="0"/>
                  <w:marTop w:val="0"/>
                  <w:marBottom w:val="0"/>
                  <w:divBdr>
                    <w:top w:val="none" w:sz="0" w:space="0" w:color="auto"/>
                    <w:left w:val="none" w:sz="0" w:space="0" w:color="auto"/>
                    <w:bottom w:val="none" w:sz="0" w:space="0" w:color="auto"/>
                    <w:right w:val="none" w:sz="0" w:space="0" w:color="auto"/>
                  </w:divBdr>
                </w:div>
              </w:divsChild>
            </w:div>
            <w:div w:id="2014332864">
              <w:marLeft w:val="0"/>
              <w:marRight w:val="0"/>
              <w:marTop w:val="0"/>
              <w:marBottom w:val="0"/>
              <w:divBdr>
                <w:top w:val="none" w:sz="0" w:space="0" w:color="auto"/>
                <w:left w:val="none" w:sz="0" w:space="0" w:color="auto"/>
                <w:bottom w:val="none" w:sz="0" w:space="0" w:color="auto"/>
                <w:right w:val="none" w:sz="0" w:space="0" w:color="auto"/>
              </w:divBdr>
              <w:divsChild>
                <w:div w:id="1143961364">
                  <w:marLeft w:val="0"/>
                  <w:marRight w:val="0"/>
                  <w:marTop w:val="0"/>
                  <w:marBottom w:val="0"/>
                  <w:divBdr>
                    <w:top w:val="none" w:sz="0" w:space="0" w:color="auto"/>
                    <w:left w:val="none" w:sz="0" w:space="0" w:color="auto"/>
                    <w:bottom w:val="none" w:sz="0" w:space="0" w:color="auto"/>
                    <w:right w:val="none" w:sz="0" w:space="0" w:color="auto"/>
                  </w:divBdr>
                  <w:divsChild>
                    <w:div w:id="6188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259708">
      <w:bodyDiv w:val="1"/>
      <w:marLeft w:val="0"/>
      <w:marRight w:val="0"/>
      <w:marTop w:val="0"/>
      <w:marBottom w:val="0"/>
      <w:divBdr>
        <w:top w:val="none" w:sz="0" w:space="0" w:color="auto"/>
        <w:left w:val="none" w:sz="0" w:space="0" w:color="auto"/>
        <w:bottom w:val="none" w:sz="0" w:space="0" w:color="auto"/>
        <w:right w:val="none" w:sz="0" w:space="0" w:color="auto"/>
      </w:divBdr>
      <w:divsChild>
        <w:div w:id="178127860">
          <w:marLeft w:val="0"/>
          <w:marRight w:val="0"/>
          <w:marTop w:val="0"/>
          <w:marBottom w:val="0"/>
          <w:divBdr>
            <w:top w:val="none" w:sz="0" w:space="0" w:color="auto"/>
            <w:left w:val="none" w:sz="0" w:space="0" w:color="auto"/>
            <w:bottom w:val="none" w:sz="0" w:space="0" w:color="auto"/>
            <w:right w:val="none" w:sz="0" w:space="0" w:color="auto"/>
          </w:divBdr>
        </w:div>
        <w:div w:id="890729190">
          <w:marLeft w:val="0"/>
          <w:marRight w:val="0"/>
          <w:marTop w:val="300"/>
          <w:marBottom w:val="300"/>
          <w:divBdr>
            <w:top w:val="none" w:sz="0" w:space="0" w:color="auto"/>
            <w:left w:val="none" w:sz="0" w:space="0" w:color="auto"/>
            <w:bottom w:val="none" w:sz="0" w:space="0" w:color="auto"/>
            <w:right w:val="none" w:sz="0" w:space="0" w:color="auto"/>
          </w:divBdr>
        </w:div>
        <w:div w:id="415858322">
          <w:marLeft w:val="0"/>
          <w:marRight w:val="0"/>
          <w:marTop w:val="600"/>
          <w:marBottom w:val="0"/>
          <w:divBdr>
            <w:top w:val="none" w:sz="0" w:space="0" w:color="auto"/>
            <w:left w:val="none" w:sz="0" w:space="0" w:color="auto"/>
            <w:bottom w:val="none" w:sz="0" w:space="0" w:color="auto"/>
            <w:right w:val="none" w:sz="0" w:space="0" w:color="auto"/>
          </w:divBdr>
          <w:divsChild>
            <w:div w:id="111481558">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gov/newsroom/speeches-statements/gensler-statement-edgar-next-092724" TargetMode="External"/><Relationship Id="rId13" Type="http://schemas.openxmlformats.org/officeDocument/2006/relationships/hyperlink" Target="https://www.sec.gov/about/sec-commissioners/gary-gensler" TargetMode="External"/><Relationship Id="rId3" Type="http://schemas.openxmlformats.org/officeDocument/2006/relationships/settings" Target="settings.xml"/><Relationship Id="rId7" Type="http://schemas.openxmlformats.org/officeDocument/2006/relationships/hyperlink" Target="https://www.sec.gov/submit-filings/improving-edgar/edgar-next-improving-filer-access-account-management"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xbrl.org/news/sec-opens-beta-testing-for-major-edgar-improvements/" TargetMode="External"/><Relationship Id="rId11" Type="http://schemas.openxmlformats.org/officeDocument/2006/relationships/hyperlink" Target="https://www.xbrl.org/tag/us/"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xbrl.org/tag/sec/" TargetMode="External"/><Relationship Id="rId4" Type="http://schemas.openxmlformats.org/officeDocument/2006/relationships/webSettings" Target="webSettings.xml"/><Relationship Id="rId9" Type="http://schemas.openxmlformats.org/officeDocument/2006/relationships/hyperlink" Target="https://www.xbrl.org/tag/edgar-next/"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1199</Words>
  <Characters>6600</Characters>
  <Application>Microsoft Office Word</Application>
  <DocSecurity>0</DocSecurity>
  <Lines>55</Lines>
  <Paragraphs>15</Paragraphs>
  <ScaleCrop>false</ScaleCrop>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6</cp:revision>
  <dcterms:created xsi:type="dcterms:W3CDTF">2024-10-08T05:19:00Z</dcterms:created>
  <dcterms:modified xsi:type="dcterms:W3CDTF">2024-10-15T03:06:00Z</dcterms:modified>
</cp:coreProperties>
</file>