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F8DD" w14:textId="77777777" w:rsidR="003A4226" w:rsidRPr="00944DCA" w:rsidRDefault="003A4226" w:rsidP="003A4226">
      <w:pPr>
        <w:jc w:val="both"/>
        <w:rPr>
          <w:rFonts w:ascii="Abadi" w:hAnsi="Abadi"/>
          <w:sz w:val="24"/>
          <w:szCs w:val="24"/>
        </w:rPr>
      </w:pPr>
      <w:r w:rsidRPr="00944DCA">
        <w:rPr>
          <w:rFonts w:ascii="Abadi" w:hAnsi="Abadi"/>
          <w:sz w:val="24"/>
          <w:szCs w:val="24"/>
        </w:rPr>
        <w:t>Sudáfrica toma la delantera en materia de divulgación de sostenibilidad digital</w:t>
      </w:r>
    </w:p>
    <w:p w14:paraId="50930006" w14:textId="005E4479" w:rsidR="003A4226" w:rsidRPr="003A4226" w:rsidRDefault="003A4226" w:rsidP="003A4226">
      <w:pPr>
        <w:jc w:val="both"/>
      </w:pPr>
      <w:r w:rsidRPr="003A4226">
        <w:rPr>
          <w:noProof/>
        </w:rPr>
        <w:drawing>
          <wp:inline distT="0" distB="0" distL="0" distR="0" wp14:anchorId="6FDF46E7" wp14:editId="464FD9AB">
            <wp:extent cx="5612130" cy="42113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11320"/>
                    </a:xfrm>
                    <a:prstGeom prst="rect">
                      <a:avLst/>
                    </a:prstGeom>
                    <a:noFill/>
                    <a:ln>
                      <a:noFill/>
                    </a:ln>
                  </pic:spPr>
                </pic:pic>
              </a:graphicData>
            </a:graphic>
          </wp:inline>
        </w:drawing>
      </w:r>
    </w:p>
    <w:p w14:paraId="4795C430" w14:textId="77777777" w:rsidR="00944DCA" w:rsidRPr="003A4226" w:rsidRDefault="00944DCA" w:rsidP="00944DCA">
      <w:pPr>
        <w:jc w:val="both"/>
      </w:pPr>
      <w:r w:rsidRPr="003A4226">
        <w:t>Publicado el 18 de octubre de 2024 por</w:t>
      </w:r>
      <w:r>
        <w:t xml:space="preserve"> </w:t>
      </w:r>
      <w:hyperlink r:id="rId6" w:history="1">
        <w:r w:rsidRPr="003A4226">
          <w:rPr>
            <w:rStyle w:val="Hipervnculo"/>
            <w:b/>
            <w:bCs/>
          </w:rPr>
          <w:t>Editor</w:t>
        </w:r>
      </w:hyperlink>
    </w:p>
    <w:p w14:paraId="3274D753" w14:textId="63901A24" w:rsidR="003A4226" w:rsidRPr="003A4226" w:rsidRDefault="003A4226" w:rsidP="003A4226">
      <w:pPr>
        <w:jc w:val="both"/>
      </w:pPr>
      <w:r w:rsidRPr="003A4226">
        <w:t>Los emisores de Sudáfrica ahora pueden utilizar la Taxonomía de Divulgación de Sostenibilidad IFRS (también llamada taxonomía ISSB) para informar datos de sostenibilidad digitalmente.</w:t>
      </w:r>
      <w:r w:rsidR="005439A3">
        <w:t xml:space="preserve"> </w:t>
      </w:r>
      <w:r w:rsidRPr="003A4226">
        <w:t>Esto convierte a la Comisión de Empresas y Propiedad Intelectual de Sudáfrica (CIPC) en el primer regulador del mundo –creemos– que permite el uso de la taxonomía.</w:t>
      </w:r>
    </w:p>
    <w:p w14:paraId="47754945" w14:textId="77777777" w:rsidR="003A4226" w:rsidRPr="003A4226" w:rsidRDefault="003A4226" w:rsidP="003A4226">
      <w:pPr>
        <w:jc w:val="both"/>
      </w:pPr>
      <w:r w:rsidRPr="003A4226">
        <w:t>El CIPC acaba de publicar su Taxonomía iXBRL actualizada, que incorpora las últimas modificaciones de la Taxonomía Contable IFRS 2024, publicada por el Consejo de Normas Internacionales de Contabilidad (IASB) en marzo de 2024. Este cambio reemplaza los elementos de la taxonomía IFRS 2023 (y las estructuras correspondientes), y se aplica a los módulos de taxonomía Co-ops, GRAP e IFRS del CIPC.</w:t>
      </w:r>
    </w:p>
    <w:p w14:paraId="7988A5CB" w14:textId="77777777" w:rsidR="003A4226" w:rsidRPr="003A4226" w:rsidRDefault="003A4226" w:rsidP="003A4226">
      <w:pPr>
        <w:jc w:val="both"/>
      </w:pPr>
      <w:r w:rsidRPr="003A4226">
        <w:t>Fundamentalmente, la actualización también incluye puntos de entrada modulares para la Taxonomía de Divulgación de Sostenibilidad IFRS 2024. Esto permite a los primeros adoptantes voluntarios de las normas inaugurales del Consejo de Normas Internacionales de Sostenibilidad (ISSB), IFRS S1 e IFRS S2, etiquetar digitalmente sus divulgaciones de sostenibilidad.</w:t>
      </w:r>
    </w:p>
    <w:p w14:paraId="0A4D52C3" w14:textId="0AA70CFD" w:rsidR="003A4226" w:rsidRPr="003A4226" w:rsidRDefault="003A4226" w:rsidP="003A4226">
      <w:pPr>
        <w:jc w:val="both"/>
      </w:pPr>
      <w:r w:rsidRPr="003A4226">
        <w:t xml:space="preserve">Es muy bueno ver que el CIPC está liderando el camino, integrando la taxonomía ISSB en su marco de divulgación. Se prevé que, a su debido tiempo, Sudáfrica también impondrá la obligación de presentar informes digitales de sostenibilidad utilizando las normas ISSB. Es probable que este sea </w:t>
      </w:r>
      <w:r w:rsidRPr="003A4226">
        <w:lastRenderedPageBreak/>
        <w:t>un proceso relativamente sencillo para los emisores sudafricanos con visión de futuro, ya que se basa en los enfoques de divulgación de sostenibilidad</w:t>
      </w:r>
      <w:r w:rsidR="00944DCA">
        <w:t xml:space="preserve"> </w:t>
      </w:r>
      <w:hyperlink r:id="rId7" w:tgtFrame="_blank" w:history="1">
        <w:r w:rsidRPr="003A4226">
          <w:rPr>
            <w:rStyle w:val="Hipervnculo"/>
          </w:rPr>
          <w:t>existentes</w:t>
        </w:r>
      </w:hyperlink>
      <w:r w:rsidR="00944DCA">
        <w:t xml:space="preserve"> </w:t>
      </w:r>
      <w:r w:rsidRPr="003A4226">
        <w:t>basados en las directrices del TCFD.</w:t>
      </w:r>
    </w:p>
    <w:p w14:paraId="536CB99D" w14:textId="77777777" w:rsidR="003A4226" w:rsidRPr="003A4226" w:rsidRDefault="003A4226" w:rsidP="003A4226">
      <w:pPr>
        <w:jc w:val="both"/>
      </w:pPr>
      <w:r w:rsidRPr="003A4226">
        <w:t>La taxonomía final de 2024 se publicó el 1 de octubre y está disponible en el sitio web del CIPC para uso público.</w:t>
      </w:r>
    </w:p>
    <w:p w14:paraId="0D198D69" w14:textId="43CA9961" w:rsidR="003A4226" w:rsidRPr="003A4226" w:rsidRDefault="003A4226" w:rsidP="003A4226">
      <w:pPr>
        <w:jc w:val="both"/>
      </w:pPr>
      <w:r w:rsidRPr="003A4226">
        <w:t>Puede acceder a la taxonomía CIPC actualizada</w:t>
      </w:r>
      <w:r w:rsidR="00944DCA">
        <w:t xml:space="preserve"> </w:t>
      </w:r>
      <w:hyperlink r:id="rId8" w:tgtFrame="_blank" w:history="1">
        <w:r w:rsidRPr="003A4226">
          <w:rPr>
            <w:rStyle w:val="Hipervnculo"/>
          </w:rPr>
          <w:t>aquí</w:t>
        </w:r>
      </w:hyperlink>
      <w:r w:rsidRPr="003A4226">
        <w:t>.</w:t>
      </w:r>
    </w:p>
    <w:p w14:paraId="2852B2AA" w14:textId="6C1840ED" w:rsidR="003A4226" w:rsidRPr="003A4226" w:rsidRDefault="00944DCA" w:rsidP="003A4226">
      <w:pPr>
        <w:jc w:val="both"/>
      </w:pPr>
      <w:hyperlink r:id="rId9" w:history="1">
        <w:r w:rsidR="003A4226" w:rsidRPr="003A4226">
          <w:rPr>
            <w:rStyle w:val="Hipervnculo"/>
          </w:rPr>
          <w:t>CIPC</w:t>
        </w:r>
        <w:r>
          <w:rPr>
            <w:rStyle w:val="Hipervnculo"/>
          </w:rPr>
          <w:t xml:space="preserve"> </w:t>
        </w:r>
      </w:hyperlink>
      <w:hyperlink r:id="rId10" w:history="1">
        <w:r w:rsidR="003A4226" w:rsidRPr="003A4226">
          <w:rPr>
            <w:rStyle w:val="Hipervnculo"/>
          </w:rPr>
          <w:t>ISSB</w:t>
        </w:r>
        <w:r>
          <w:rPr>
            <w:rStyle w:val="Hipervnculo"/>
          </w:rPr>
          <w:t xml:space="preserve"> </w:t>
        </w:r>
      </w:hyperlink>
      <w:hyperlink r:id="rId11" w:history="1">
        <w:r w:rsidR="003A4226" w:rsidRPr="003A4226">
          <w:rPr>
            <w:rStyle w:val="Hipervnculo"/>
          </w:rPr>
          <w:t>Taxonomía</w:t>
        </w:r>
        <w:r>
          <w:rPr>
            <w:rStyle w:val="Hipervnculo"/>
          </w:rPr>
          <w:t xml:space="preserve"> </w:t>
        </w:r>
      </w:hyperlink>
      <w:hyperlink r:id="rId12" w:history="1">
        <w:r w:rsidR="003A4226" w:rsidRPr="003A4226">
          <w:rPr>
            <w:rStyle w:val="Hipervnculo"/>
          </w:rPr>
          <w:t>de Sudáfrica</w:t>
        </w:r>
        <w:r>
          <w:rPr>
            <w:rStyle w:val="Hipervnculo"/>
          </w:rPr>
          <w:t xml:space="preserve"> </w:t>
        </w:r>
      </w:hyperlink>
      <w:hyperlink r:id="rId13" w:history="1">
        <w:r w:rsidR="003A4226" w:rsidRPr="003A4226">
          <w:rPr>
            <w:rStyle w:val="Hipervnculo"/>
          </w:rPr>
          <w:t>Taxonomía</w:t>
        </w:r>
        <w:r>
          <w:rPr>
            <w:rStyle w:val="Hipervnculo"/>
          </w:rPr>
          <w:t xml:space="preserve"> </w:t>
        </w:r>
      </w:hyperlink>
      <w:hyperlink r:id="rId14" w:history="1">
        <w:r w:rsidR="003A4226" w:rsidRPr="003A4226">
          <w:rPr>
            <w:rStyle w:val="Hipervnculo"/>
          </w:rPr>
          <w:t>de sostenibilidad</w:t>
        </w:r>
      </w:hyperlink>
    </w:p>
    <w:p w14:paraId="4F178A49" w14:textId="77777777" w:rsidR="00944DCA" w:rsidRDefault="00944DCA" w:rsidP="003A4226">
      <w:pPr>
        <w:jc w:val="both"/>
      </w:pPr>
    </w:p>
    <w:p w14:paraId="6E87EF84" w14:textId="77777777" w:rsidR="00944DCA" w:rsidRDefault="00944DCA" w:rsidP="003A4226">
      <w:pPr>
        <w:jc w:val="both"/>
      </w:pPr>
    </w:p>
    <w:p w14:paraId="49859785" w14:textId="77777777" w:rsidR="00944DCA" w:rsidRDefault="00944DCA" w:rsidP="003A4226">
      <w:pPr>
        <w:jc w:val="both"/>
      </w:pPr>
    </w:p>
    <w:p w14:paraId="5577994F" w14:textId="77777777" w:rsidR="00944DCA" w:rsidRDefault="00944DCA" w:rsidP="003A4226">
      <w:pPr>
        <w:jc w:val="both"/>
      </w:pPr>
    </w:p>
    <w:p w14:paraId="2B3DCEFF" w14:textId="77777777" w:rsidR="00944DCA" w:rsidRDefault="00944DCA" w:rsidP="003A4226">
      <w:pPr>
        <w:jc w:val="both"/>
      </w:pPr>
    </w:p>
    <w:p w14:paraId="54B1CA22" w14:textId="77777777" w:rsidR="00944DCA" w:rsidRDefault="00944DCA" w:rsidP="003A4226">
      <w:pPr>
        <w:jc w:val="both"/>
      </w:pPr>
    </w:p>
    <w:p w14:paraId="14441632" w14:textId="77777777" w:rsidR="00944DCA" w:rsidRDefault="00944DCA" w:rsidP="003A4226">
      <w:pPr>
        <w:jc w:val="both"/>
      </w:pPr>
    </w:p>
    <w:p w14:paraId="0C348D0F" w14:textId="77777777" w:rsidR="00944DCA" w:rsidRDefault="00944DCA" w:rsidP="003A4226">
      <w:pPr>
        <w:jc w:val="both"/>
      </w:pPr>
    </w:p>
    <w:p w14:paraId="3C86ED87" w14:textId="77777777" w:rsidR="00944DCA" w:rsidRDefault="00944DCA" w:rsidP="003A4226">
      <w:pPr>
        <w:jc w:val="both"/>
      </w:pPr>
    </w:p>
    <w:p w14:paraId="54EBCA95" w14:textId="77777777" w:rsidR="00944DCA" w:rsidRDefault="00944DCA" w:rsidP="003A4226">
      <w:pPr>
        <w:jc w:val="both"/>
      </w:pPr>
    </w:p>
    <w:p w14:paraId="29BF4E2D" w14:textId="77777777" w:rsidR="00944DCA" w:rsidRDefault="00944DCA" w:rsidP="003A4226">
      <w:pPr>
        <w:jc w:val="both"/>
      </w:pPr>
    </w:p>
    <w:p w14:paraId="0F197E49" w14:textId="77777777" w:rsidR="00944DCA" w:rsidRDefault="00944DCA" w:rsidP="003A4226">
      <w:pPr>
        <w:jc w:val="both"/>
      </w:pPr>
    </w:p>
    <w:p w14:paraId="25A8DA6E" w14:textId="77777777" w:rsidR="00944DCA" w:rsidRDefault="00944DCA" w:rsidP="003A4226">
      <w:pPr>
        <w:jc w:val="both"/>
      </w:pPr>
    </w:p>
    <w:p w14:paraId="2BF74330" w14:textId="77777777" w:rsidR="00944DCA" w:rsidRDefault="00944DCA" w:rsidP="003A4226">
      <w:pPr>
        <w:jc w:val="both"/>
      </w:pPr>
    </w:p>
    <w:p w14:paraId="752F826B" w14:textId="77777777" w:rsidR="00944DCA" w:rsidRDefault="00944DCA" w:rsidP="003A4226">
      <w:pPr>
        <w:jc w:val="both"/>
      </w:pPr>
    </w:p>
    <w:p w14:paraId="53452F2C" w14:textId="77777777" w:rsidR="00944DCA" w:rsidRDefault="00944DCA" w:rsidP="003A4226">
      <w:pPr>
        <w:jc w:val="both"/>
      </w:pPr>
    </w:p>
    <w:p w14:paraId="59ED857D" w14:textId="77777777" w:rsidR="00944DCA" w:rsidRDefault="00944DCA" w:rsidP="003A4226">
      <w:pPr>
        <w:jc w:val="both"/>
      </w:pPr>
    </w:p>
    <w:p w14:paraId="5719D9E5" w14:textId="77777777" w:rsidR="00944DCA" w:rsidRDefault="00944DCA" w:rsidP="003A4226">
      <w:pPr>
        <w:jc w:val="both"/>
      </w:pPr>
    </w:p>
    <w:p w14:paraId="5DB6862F" w14:textId="77777777" w:rsidR="00944DCA" w:rsidRDefault="00944DCA" w:rsidP="003A4226">
      <w:pPr>
        <w:jc w:val="both"/>
      </w:pPr>
    </w:p>
    <w:p w14:paraId="38C61B68" w14:textId="77777777" w:rsidR="00944DCA" w:rsidRDefault="00944DCA" w:rsidP="003A4226">
      <w:pPr>
        <w:jc w:val="both"/>
      </w:pPr>
    </w:p>
    <w:p w14:paraId="27C6476D" w14:textId="77777777" w:rsidR="00944DCA" w:rsidRDefault="00944DCA" w:rsidP="003A4226">
      <w:pPr>
        <w:jc w:val="both"/>
      </w:pPr>
    </w:p>
    <w:p w14:paraId="5DD362FD" w14:textId="77777777" w:rsidR="00944DCA" w:rsidRDefault="00944DCA" w:rsidP="003A4226">
      <w:pPr>
        <w:jc w:val="both"/>
      </w:pPr>
    </w:p>
    <w:p w14:paraId="6267AC2C" w14:textId="2943D0C1" w:rsidR="00944DCA" w:rsidRDefault="00944DCA" w:rsidP="003A4226">
      <w:pPr>
        <w:jc w:val="both"/>
      </w:pPr>
    </w:p>
    <w:p w14:paraId="29AC355C" w14:textId="77777777" w:rsidR="00944DCA" w:rsidRDefault="00944DCA" w:rsidP="003A4226">
      <w:pPr>
        <w:jc w:val="both"/>
      </w:pPr>
    </w:p>
    <w:p w14:paraId="7FA4D807" w14:textId="77777777" w:rsidR="003A4226" w:rsidRPr="00944DCA" w:rsidRDefault="003A4226" w:rsidP="003A4226">
      <w:pPr>
        <w:jc w:val="both"/>
        <w:rPr>
          <w:rFonts w:ascii="Abadi" w:hAnsi="Abadi"/>
          <w:sz w:val="24"/>
          <w:szCs w:val="24"/>
        </w:rPr>
      </w:pPr>
      <w:r w:rsidRPr="00944DCA">
        <w:rPr>
          <w:rFonts w:ascii="Abadi" w:hAnsi="Abadi"/>
          <w:sz w:val="24"/>
          <w:szCs w:val="24"/>
        </w:rPr>
        <w:lastRenderedPageBreak/>
        <w:t>La revolución de los informes ESG en Sudáfrica</w:t>
      </w:r>
    </w:p>
    <w:p w14:paraId="720085B7" w14:textId="10FA8FCA" w:rsidR="003A4226" w:rsidRPr="003A4226" w:rsidRDefault="003A4226" w:rsidP="003A4226">
      <w:pPr>
        <w:jc w:val="both"/>
      </w:pPr>
      <w:r w:rsidRPr="003A4226">
        <w:t>Publicado el 15 de abril de 2024 por</w:t>
      </w:r>
      <w:r w:rsidR="00944DCA">
        <w:t xml:space="preserve"> </w:t>
      </w:r>
      <w:hyperlink r:id="rId15" w:history="1">
        <w:r w:rsidRPr="003A4226">
          <w:rPr>
            <w:rStyle w:val="Hipervnculo"/>
            <w:b/>
            <w:bCs/>
          </w:rPr>
          <w:t>Editor</w:t>
        </w:r>
      </w:hyperlink>
    </w:p>
    <w:p w14:paraId="19522A7F" w14:textId="505E2348" w:rsidR="003A4226" w:rsidRPr="003A4226" w:rsidRDefault="003A4226" w:rsidP="003A4226">
      <w:pPr>
        <w:jc w:val="both"/>
      </w:pPr>
      <w:r w:rsidRPr="003A4226">
        <w:rPr>
          <w:noProof/>
        </w:rPr>
        <w:drawing>
          <wp:inline distT="0" distB="0" distL="0" distR="0" wp14:anchorId="09F463C9" wp14:editId="2A030185">
            <wp:extent cx="5612130" cy="37477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0034FDD7" w14:textId="6F0DD79C" w:rsidR="003A4226" w:rsidRPr="003A4226" w:rsidRDefault="00944DCA" w:rsidP="003A4226">
      <w:pPr>
        <w:jc w:val="both"/>
      </w:pPr>
      <w:hyperlink r:id="rId17" w:tgtFrame="_blank" w:history="1">
        <w:r w:rsidR="003A4226" w:rsidRPr="003A4226">
          <w:rPr>
            <w:rStyle w:val="Hipervnculo"/>
          </w:rPr>
          <w:t>Tras el reciente compromiso</w:t>
        </w:r>
      </w:hyperlink>
      <w:r>
        <w:t xml:space="preserve"> </w:t>
      </w:r>
      <w:r w:rsidR="003A4226" w:rsidRPr="003A4226">
        <w:t>de la Junta de Normas Internacionales de Sostenibilidad (ISSB)</w:t>
      </w:r>
      <w:r>
        <w:t xml:space="preserve"> </w:t>
      </w:r>
      <w:r w:rsidR="003A4226" w:rsidRPr="003A4226">
        <w:t>con las principales economías de África para promover estándares de sostenibilidad, esta semana se presenta una actualización que analiza más de cerca la importancia de la integridad de los datos para el mandato en Sudáfrica.</w:t>
      </w:r>
    </w:p>
    <w:p w14:paraId="0BFAE153" w14:textId="77777777" w:rsidR="003A4226" w:rsidRPr="003A4226" w:rsidRDefault="003A4226" w:rsidP="003A4226">
      <w:pPr>
        <w:jc w:val="both"/>
      </w:pPr>
      <w:r w:rsidRPr="003A4226">
        <w:t>La Comisión de Empresas y Propiedad Intelectual de Sudáfrica (CIPC) introdujo la presentación obligatoria de informes ambientales, sociales y de gobernanza (ESG) junto con la presentación de informes XBRL. La norma, que será voluntaria a partir del último trimestre de 2023, se volverá obligatoria a partir de 2025 y, a partir de ese momento, también entrarán en vigor requisitos de etiquetado más detallados. Inicialmente dirigida a las empresas públicas y estatales, Sudáfrica está dando forma a un sólido marco de presentación de informes para impulsar la transparencia y la rendición de cuentas.</w:t>
      </w:r>
    </w:p>
    <w:p w14:paraId="32A2D3D1" w14:textId="77777777" w:rsidR="003A4226" w:rsidRPr="003A4226" w:rsidRDefault="003A4226" w:rsidP="003A4226">
      <w:pPr>
        <w:jc w:val="both"/>
      </w:pPr>
      <w:r w:rsidRPr="003A4226">
        <w:t>Los datos precisos y fiables son esenciales para generar confianza con las partes interesadas externas y los inversores. Sin embargo, también son útiles a nivel interno para impulsar la toma de decisiones informada y ayudar a mitigar los riesgos comerciales. Los datos precisos ayudan a generar confianza en los inversores, garantizar el cumplimiento de la normativa y pueden mejorar la reputación de la empresa.</w:t>
      </w:r>
    </w:p>
    <w:p w14:paraId="2BA4D6A7" w14:textId="77777777" w:rsidR="003A4226" w:rsidRPr="003A4226" w:rsidRDefault="003A4226" w:rsidP="003A4226">
      <w:pPr>
        <w:jc w:val="both"/>
      </w:pPr>
      <w:r w:rsidRPr="003A4226">
        <w:t xml:space="preserve">El marco de presentación de informes ESG de Sudáfrica sienta un precedente para las iniciativas de sostenibilidad globales, al enfatizar el papel crucial de la integridad de los datos. A medida que </w:t>
      </w:r>
      <w:r w:rsidRPr="003A4226">
        <w:lastRenderedPageBreak/>
        <w:t>evoluciona el panorama ESG, la postura proactiva de Sudáfrica destaca la importancia de alinear las estrategias comerciales con las responsabilidades ambientales y sociales.</w:t>
      </w:r>
    </w:p>
    <w:p w14:paraId="6DCB982C" w14:textId="777CAE66" w:rsidR="003A4226" w:rsidRPr="003A4226" w:rsidRDefault="003A4226" w:rsidP="003A4226">
      <w:pPr>
        <w:jc w:val="both"/>
      </w:pPr>
      <w:r w:rsidRPr="003A4226">
        <w:t>Lea más sobre el mandato de presentación de informes ESG de Sudáfrica y sus implicaciones</w:t>
      </w:r>
      <w:r w:rsidR="00944DCA">
        <w:t xml:space="preserve"> </w:t>
      </w:r>
      <w:hyperlink r:id="rId18" w:tgtFrame="_blank" w:history="1">
        <w:r w:rsidRPr="003A4226">
          <w:rPr>
            <w:rStyle w:val="Hipervnculo"/>
          </w:rPr>
          <w:t>aquí</w:t>
        </w:r>
      </w:hyperlink>
      <w:r w:rsidRPr="003A4226">
        <w:t>.</w:t>
      </w:r>
    </w:p>
    <w:p w14:paraId="3699CDD4" w14:textId="040A6162" w:rsidR="003A4226" w:rsidRPr="003A4226" w:rsidRDefault="00944DCA" w:rsidP="003A4226">
      <w:pPr>
        <w:jc w:val="both"/>
      </w:pPr>
      <w:hyperlink r:id="rId19" w:history="1">
        <w:r w:rsidR="003A4226" w:rsidRPr="003A4226">
          <w:rPr>
            <w:rStyle w:val="Hipervnculo"/>
          </w:rPr>
          <w:t>CIPC</w:t>
        </w:r>
        <w:r>
          <w:rPr>
            <w:rStyle w:val="Hipervnculo"/>
          </w:rPr>
          <w:t xml:space="preserve"> </w:t>
        </w:r>
      </w:hyperlink>
      <w:hyperlink r:id="rId20" w:history="1">
        <w:r w:rsidR="003A4226" w:rsidRPr="003A4226">
          <w:rPr>
            <w:rStyle w:val="Hipervnculo"/>
          </w:rPr>
          <w:t>ESG</w:t>
        </w:r>
        <w:r>
          <w:rPr>
            <w:rStyle w:val="Hipervnculo"/>
          </w:rPr>
          <w:t xml:space="preserve"> </w:t>
        </w:r>
      </w:hyperlink>
      <w:hyperlink r:id="rId21" w:history="1">
        <w:r w:rsidR="003A4226" w:rsidRPr="003A4226">
          <w:rPr>
            <w:rStyle w:val="Hipervnculo"/>
          </w:rPr>
          <w:t>ISSB</w:t>
        </w:r>
        <w:r>
          <w:rPr>
            <w:rStyle w:val="Hipervnculo"/>
          </w:rPr>
          <w:t xml:space="preserve"> </w:t>
        </w:r>
      </w:hyperlink>
      <w:hyperlink r:id="rId22" w:history="1">
        <w:r w:rsidR="003A4226" w:rsidRPr="003A4226">
          <w:rPr>
            <w:rStyle w:val="Hipervnculo"/>
          </w:rPr>
          <w:t>Sudáfrica</w:t>
        </w:r>
      </w:hyperlink>
    </w:p>
    <w:p w14:paraId="51055DD6" w14:textId="77777777" w:rsidR="003A4226" w:rsidRDefault="003A4226" w:rsidP="003A4226">
      <w:pPr>
        <w:jc w:val="both"/>
      </w:pPr>
    </w:p>
    <w:p w14:paraId="5041535D" w14:textId="77777777" w:rsidR="003A4226" w:rsidRPr="00944DCA" w:rsidRDefault="003A4226" w:rsidP="003A4226">
      <w:pPr>
        <w:jc w:val="both"/>
        <w:rPr>
          <w:rFonts w:ascii="Abadi" w:hAnsi="Abadi"/>
          <w:sz w:val="24"/>
          <w:szCs w:val="24"/>
        </w:rPr>
      </w:pPr>
      <w:r w:rsidRPr="00944DCA">
        <w:rPr>
          <w:rFonts w:ascii="Abadi" w:hAnsi="Abadi"/>
          <w:sz w:val="24"/>
          <w:szCs w:val="24"/>
        </w:rPr>
        <w:t>Sudáfrica toma la delantera: desmitificando los informes ESG y el poder de la integridad de los datos</w:t>
      </w:r>
    </w:p>
    <w:p w14:paraId="166F9102" w14:textId="1233EED7" w:rsidR="003A4226" w:rsidRPr="003A4226" w:rsidRDefault="003A4226" w:rsidP="003A4226">
      <w:pPr>
        <w:jc w:val="both"/>
      </w:pPr>
      <w:r w:rsidRPr="003A4226">
        <w:rPr>
          <w:noProof/>
        </w:rPr>
        <w:drawing>
          <wp:inline distT="0" distB="0" distL="0" distR="0" wp14:anchorId="6D5E58BD" wp14:editId="4AA1A6CD">
            <wp:extent cx="5612130" cy="37230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3723005"/>
                    </a:xfrm>
                    <a:prstGeom prst="rect">
                      <a:avLst/>
                    </a:prstGeom>
                  </pic:spPr>
                </pic:pic>
              </a:graphicData>
            </a:graphic>
          </wp:inline>
        </w:drawing>
      </w:r>
    </w:p>
    <w:p w14:paraId="511AC494" w14:textId="42109536" w:rsidR="003A4226" w:rsidRPr="003A4226" w:rsidRDefault="003A4226" w:rsidP="003A4226">
      <w:pPr>
        <w:jc w:val="both"/>
      </w:pPr>
      <w:r w:rsidRPr="003A4226">
        <w:t>Sudáfrica está a la vanguardia de un cambio global hacia prácticas empresariales sostenibles. La presentación de informes ambientales, sociales y de gobernanza (ESG) ya no es una preocupación de nicho, sino un requisito obligatorio para muchas empresas. Pero ¿qué es exactamente ESG y por qué</w:t>
      </w:r>
      <w:r w:rsidR="00944DCA">
        <w:t xml:space="preserve"> </w:t>
      </w:r>
      <w:hyperlink r:id="rId24" w:tgtFrame="_blank" w:history="1">
        <w:r w:rsidRPr="003A4226">
          <w:rPr>
            <w:rStyle w:val="Hipervnculo"/>
            <w:b/>
            <w:bCs/>
          </w:rPr>
          <w:t>la integridad de los datos</w:t>
        </w:r>
      </w:hyperlink>
      <w:r w:rsidR="00944DCA">
        <w:t xml:space="preserve"> </w:t>
      </w:r>
      <w:r w:rsidRPr="003A4226">
        <w:t>es tan crucial para una presentación de informes exitosa?</w:t>
      </w:r>
    </w:p>
    <w:p w14:paraId="0AF44D37" w14:textId="77777777" w:rsidR="003A4226" w:rsidRPr="003A4226" w:rsidRDefault="003A4226" w:rsidP="003A4226">
      <w:pPr>
        <w:jc w:val="both"/>
        <w:rPr>
          <w:b/>
          <w:bCs/>
        </w:rPr>
      </w:pPr>
      <w:r w:rsidRPr="003A4226">
        <w:rPr>
          <w:b/>
          <w:bCs/>
        </w:rPr>
        <w:t>Entendiendo el ABC de ESG:</w:t>
      </w:r>
    </w:p>
    <w:p w14:paraId="5942FC96" w14:textId="77777777" w:rsidR="003A4226" w:rsidRPr="003A4226" w:rsidRDefault="003A4226" w:rsidP="003A4226">
      <w:pPr>
        <w:jc w:val="both"/>
      </w:pPr>
      <w:r w:rsidRPr="003A4226">
        <w:t>ESG significa tres pilares clave que evalúan el impacto y la responsabilidad de una empresa:</w:t>
      </w:r>
    </w:p>
    <w:p w14:paraId="79E0FCE0" w14:textId="56F5D39F" w:rsidR="003A4226" w:rsidRPr="003A4226" w:rsidRDefault="003A4226" w:rsidP="003A4226">
      <w:pPr>
        <w:numPr>
          <w:ilvl w:val="0"/>
          <w:numId w:val="1"/>
        </w:numPr>
        <w:jc w:val="both"/>
      </w:pPr>
      <w:r w:rsidRPr="003A4226">
        <w:rPr>
          <w:b/>
          <w:bCs/>
        </w:rPr>
        <w:t>Medioambiental:</w:t>
      </w:r>
      <w:r w:rsidR="00944DCA">
        <w:t xml:space="preserve"> </w:t>
      </w:r>
      <w:r w:rsidRPr="003A4226">
        <w:t>Esta dimensión se centra en la huella de carbono de una empresa en el planeta. Tiene en cuenta factores como el consumo de energía, la gestión de residuos, el control de la contaminación y las iniciativas relacionadas con el cambio climático.</w:t>
      </w:r>
    </w:p>
    <w:p w14:paraId="47521D47" w14:textId="1B4D19D8" w:rsidR="003A4226" w:rsidRPr="003A4226" w:rsidRDefault="003A4226" w:rsidP="003A4226">
      <w:pPr>
        <w:numPr>
          <w:ilvl w:val="0"/>
          <w:numId w:val="1"/>
        </w:numPr>
        <w:jc w:val="both"/>
      </w:pPr>
      <w:r w:rsidRPr="003A4226">
        <w:rPr>
          <w:b/>
          <w:bCs/>
        </w:rPr>
        <w:t>Social:</w:t>
      </w:r>
      <w:r w:rsidR="00944DCA">
        <w:t xml:space="preserve"> </w:t>
      </w:r>
      <w:r w:rsidRPr="003A4226">
        <w:t>Este pilar examina cómo interactúa una empresa con sus empleados, sus partes interesadas y la comunidad. Incluye aspectos como las prácticas laborales, la diversidad y la inclusión, los estándares de salud y seguridad y la participación comunitaria.</w:t>
      </w:r>
    </w:p>
    <w:p w14:paraId="343A0908" w14:textId="2C676B59" w:rsidR="003A4226" w:rsidRPr="003A4226" w:rsidRDefault="003A4226" w:rsidP="003A4226">
      <w:pPr>
        <w:numPr>
          <w:ilvl w:val="0"/>
          <w:numId w:val="1"/>
        </w:numPr>
        <w:jc w:val="both"/>
      </w:pPr>
      <w:r w:rsidRPr="003A4226">
        <w:rPr>
          <w:b/>
          <w:bCs/>
        </w:rPr>
        <w:lastRenderedPageBreak/>
        <w:t>Gobernanza:</w:t>
      </w:r>
      <w:r w:rsidR="00944DCA">
        <w:t xml:space="preserve"> </w:t>
      </w:r>
      <w:r w:rsidRPr="003A4226">
        <w:t>Este componente evalúa el liderazgo y las estructuras internas de una empresa. Se centra en aspectos como la composición del directorio, la remuneración de los ejecutivos, la gestión de riesgos y las prácticas comerciales éticas.</w:t>
      </w:r>
    </w:p>
    <w:p w14:paraId="31794263" w14:textId="77777777" w:rsidR="003A4226" w:rsidRPr="003A4226" w:rsidRDefault="003A4226" w:rsidP="003A4226">
      <w:pPr>
        <w:jc w:val="both"/>
        <w:rPr>
          <w:b/>
          <w:bCs/>
        </w:rPr>
      </w:pPr>
      <w:r w:rsidRPr="003A4226">
        <w:rPr>
          <w:b/>
          <w:bCs/>
        </w:rPr>
        <w:t>Panorama de informes ESG de Sudáfrica:</w:t>
      </w:r>
    </w:p>
    <w:p w14:paraId="13F49893" w14:textId="1E37AD11" w:rsidR="003A4226" w:rsidRPr="003A4226" w:rsidRDefault="003A4226" w:rsidP="003A4226">
      <w:pPr>
        <w:jc w:val="both"/>
      </w:pPr>
      <w:r w:rsidRPr="003A4226">
        <w:t>La Comisión de Sociedades y Propiedad Intelectual (CIPC) introdujo la presentación obligatoria</w:t>
      </w:r>
      <w:r w:rsidR="00944DCA">
        <w:t xml:space="preserve"> </w:t>
      </w:r>
      <w:hyperlink r:id="rId25" w:tgtFrame="_blank" w:history="1">
        <w:r w:rsidRPr="003A4226">
          <w:rPr>
            <w:rStyle w:val="Hipervnculo"/>
            <w:b/>
            <w:bCs/>
          </w:rPr>
          <w:t>de informes ESG</w:t>
        </w:r>
      </w:hyperlink>
      <w:r w:rsidR="00944DCA">
        <w:t xml:space="preserve"> </w:t>
      </w:r>
      <w:r w:rsidRPr="003A4226">
        <w:t>en el cuarto trimestre de 2023, junto con la presentación de informes XBRL. Esto se aplica inicialmente a las empresas públicas y las empresas estatales, y actualmente está abierta la presentación voluntaria de informes. Sin embargo, a partir del año fiscal 2025-26, la divulgación de datos ESG será obligatoria para estas entidades, con un requisito de presentación de informes más detallados utilizando formatos de etiquetado específicos.</w:t>
      </w:r>
    </w:p>
    <w:p w14:paraId="298DF341" w14:textId="77777777" w:rsidR="003A4226" w:rsidRPr="003A4226" w:rsidRDefault="003A4226" w:rsidP="003A4226">
      <w:pPr>
        <w:jc w:val="both"/>
        <w:rPr>
          <w:b/>
          <w:bCs/>
        </w:rPr>
      </w:pPr>
      <w:r w:rsidRPr="003A4226">
        <w:rPr>
          <w:b/>
          <w:bCs/>
        </w:rPr>
        <w:t>Integridad de los datos: la base de unos informes ESG fiables:</w:t>
      </w:r>
    </w:p>
    <w:p w14:paraId="45B9D2C3" w14:textId="1AE10BB0" w:rsidR="003A4226" w:rsidRPr="003A4226" w:rsidRDefault="00944DCA" w:rsidP="003A4226">
      <w:pPr>
        <w:jc w:val="both"/>
      </w:pPr>
      <w:hyperlink r:id="rId26" w:tgtFrame="_blank" w:history="1">
        <w:r w:rsidR="003A4226" w:rsidRPr="003A4226">
          <w:rPr>
            <w:rStyle w:val="Hipervnculo"/>
            <w:b/>
            <w:bCs/>
          </w:rPr>
          <w:t>Los datos precisos y fiables</w:t>
        </w:r>
      </w:hyperlink>
      <w:r>
        <w:t xml:space="preserve"> </w:t>
      </w:r>
      <w:r w:rsidR="003A4226" w:rsidRPr="003A4226">
        <w:t>son la piedra angular de los informes ESG creíbles. Imagine que construye una casa sobre cimientos de arena: las inconsistencias, la falta de información o los errores pueden provocar un colapso de la confianza de las partes interesadas y los inversores. A continuación, se explica por qué es importante la integridad de los datos:</w:t>
      </w:r>
    </w:p>
    <w:p w14:paraId="04D76DFE" w14:textId="3AA37629" w:rsidR="003A4226" w:rsidRPr="003A4226" w:rsidRDefault="003A4226" w:rsidP="003A4226">
      <w:pPr>
        <w:numPr>
          <w:ilvl w:val="0"/>
          <w:numId w:val="2"/>
        </w:numPr>
        <w:jc w:val="both"/>
      </w:pPr>
      <w:r w:rsidRPr="003A4226">
        <w:rPr>
          <w:b/>
          <w:bCs/>
        </w:rPr>
        <w:t>Confianza de los inversores:</w:t>
      </w:r>
      <w:r w:rsidR="00944DCA">
        <w:t xml:space="preserve"> </w:t>
      </w:r>
      <w:r w:rsidRPr="003A4226">
        <w:t>los inversores buscan cada vez más inversiones sostenibles. Los datos ESG de alta calidad demuestran el compromiso de una empresa con la responsabilidad ambiental y social, lo que genera una mayor confianza de los inversores.</w:t>
      </w:r>
    </w:p>
    <w:p w14:paraId="57A35302" w14:textId="071BD43F" w:rsidR="003A4226" w:rsidRPr="003A4226" w:rsidRDefault="003A4226" w:rsidP="003A4226">
      <w:pPr>
        <w:numPr>
          <w:ilvl w:val="0"/>
          <w:numId w:val="2"/>
        </w:numPr>
        <w:jc w:val="both"/>
      </w:pPr>
      <w:r w:rsidRPr="003A4226">
        <w:rPr>
          <w:b/>
          <w:bCs/>
        </w:rPr>
        <w:t>Cumplimiento normativo:</w:t>
      </w:r>
      <w:r w:rsidR="00944DCA">
        <w:t xml:space="preserve"> </w:t>
      </w:r>
      <w:r w:rsidRPr="003A4226">
        <w:t>Los requisitos de informes ESG de Sudáfrica están evolucionando, y adherirse a los estándares de integridad de datos es crucial para evitar sanciones o repercusiones legales.</w:t>
      </w:r>
    </w:p>
    <w:p w14:paraId="2FB4543C" w14:textId="07850D57" w:rsidR="003A4226" w:rsidRPr="003A4226" w:rsidRDefault="003A4226" w:rsidP="003A4226">
      <w:pPr>
        <w:numPr>
          <w:ilvl w:val="0"/>
          <w:numId w:val="2"/>
        </w:numPr>
        <w:jc w:val="both"/>
      </w:pPr>
      <w:r w:rsidRPr="003A4226">
        <w:rPr>
          <w:b/>
          <w:bCs/>
        </w:rPr>
        <w:t>Mejor reputación:</w:t>
      </w:r>
      <w:r w:rsidR="00944DCA">
        <w:t xml:space="preserve"> </w:t>
      </w:r>
      <w:r w:rsidRPr="003A4226">
        <w:t>los consumidores son más conscientes desde el punto de vista ambiental y social, y los informes ESG transparentes generan confianza y fortalecen la reputación de su empresa.</w:t>
      </w:r>
    </w:p>
    <w:p w14:paraId="341059D7" w14:textId="77777777" w:rsidR="003A4226" w:rsidRPr="003A4226" w:rsidRDefault="003A4226" w:rsidP="003A4226">
      <w:pPr>
        <w:jc w:val="both"/>
        <w:rPr>
          <w:b/>
          <w:bCs/>
        </w:rPr>
      </w:pPr>
      <w:r w:rsidRPr="003A4226">
        <w:rPr>
          <w:b/>
          <w:bCs/>
        </w:rPr>
        <w:t>El efecto dominó: beneficios más allá de los informes:</w:t>
      </w:r>
    </w:p>
    <w:p w14:paraId="725350FD" w14:textId="01B09F91" w:rsidR="003A4226" w:rsidRPr="003A4226" w:rsidRDefault="003A4226" w:rsidP="003A4226">
      <w:pPr>
        <w:jc w:val="both"/>
      </w:pPr>
      <w:r w:rsidRPr="003A4226">
        <w:t>Más allá de su papel en los informes ESG,</w:t>
      </w:r>
      <w:r w:rsidR="00944DCA">
        <w:t xml:space="preserve"> </w:t>
      </w:r>
      <w:hyperlink r:id="rId27" w:tgtFrame="_blank" w:history="1">
        <w:r w:rsidRPr="003A4226">
          <w:rPr>
            <w:rStyle w:val="Hipervnculo"/>
            <w:b/>
            <w:bCs/>
          </w:rPr>
          <w:t>la integridad de los datos ofrece un valor más amplio</w:t>
        </w:r>
      </w:hyperlink>
      <w:r w:rsidR="00944DCA">
        <w:t xml:space="preserve"> </w:t>
      </w:r>
      <w:r w:rsidRPr="003A4226">
        <w:t>a su organización:</w:t>
      </w:r>
    </w:p>
    <w:p w14:paraId="0156E97C" w14:textId="076EB5B8" w:rsidR="003A4226" w:rsidRPr="003A4226" w:rsidRDefault="003A4226" w:rsidP="003A4226">
      <w:pPr>
        <w:numPr>
          <w:ilvl w:val="0"/>
          <w:numId w:val="3"/>
        </w:numPr>
        <w:jc w:val="both"/>
      </w:pPr>
      <w:r w:rsidRPr="003A4226">
        <w:rPr>
          <w:b/>
          <w:bCs/>
        </w:rPr>
        <w:t>Toma de decisiones mejorada:</w:t>
      </w:r>
      <w:r w:rsidR="00944DCA">
        <w:t xml:space="preserve"> </w:t>
      </w:r>
      <w:r w:rsidRPr="003A4226">
        <w:t>los datos precisos le permiten</w:t>
      </w:r>
      <w:r w:rsidR="00944DCA">
        <w:t xml:space="preserve"> </w:t>
      </w:r>
      <w:hyperlink r:id="rId28" w:tgtFrame="_blank" w:history="1">
        <w:r w:rsidRPr="003A4226">
          <w:rPr>
            <w:rStyle w:val="Hipervnculo"/>
            <w:b/>
            <w:bCs/>
          </w:rPr>
          <w:t>tomar decisiones informadas</w:t>
        </w:r>
      </w:hyperlink>
      <w:r w:rsidR="00944DCA">
        <w:t xml:space="preserve"> </w:t>
      </w:r>
      <w:r w:rsidRPr="003A4226">
        <w:t>que benefician su desempeño ambiental y social.</w:t>
      </w:r>
    </w:p>
    <w:p w14:paraId="7E47D8FD" w14:textId="0EDF8FA5" w:rsidR="003A4226" w:rsidRPr="003A4226" w:rsidRDefault="003A4226" w:rsidP="003A4226">
      <w:pPr>
        <w:numPr>
          <w:ilvl w:val="0"/>
          <w:numId w:val="3"/>
        </w:numPr>
        <w:jc w:val="both"/>
      </w:pPr>
      <w:r w:rsidRPr="003A4226">
        <w:rPr>
          <w:b/>
          <w:bCs/>
        </w:rPr>
        <w:t>Gestión de riesgos:</w:t>
      </w:r>
      <w:r w:rsidR="00944DCA">
        <w:t xml:space="preserve"> </w:t>
      </w:r>
      <w:r w:rsidRPr="003A4226">
        <w:t>Los datos de calidad ayudan a identificar y mitigar posibles riesgos ambientales o sociales de forma proactiva.</w:t>
      </w:r>
    </w:p>
    <w:p w14:paraId="255C62CA" w14:textId="748731CD" w:rsidR="003A4226" w:rsidRPr="003A4226" w:rsidRDefault="003A4226" w:rsidP="003A4226">
      <w:pPr>
        <w:numPr>
          <w:ilvl w:val="0"/>
          <w:numId w:val="3"/>
        </w:numPr>
        <w:jc w:val="both"/>
      </w:pPr>
      <w:r w:rsidRPr="003A4226">
        <w:rPr>
          <w:b/>
          <w:bCs/>
        </w:rPr>
        <w:t>Eficiencia operativa:</w:t>
      </w:r>
      <w:r w:rsidR="00944DCA">
        <w:t xml:space="preserve"> </w:t>
      </w:r>
      <w:r w:rsidRPr="003A4226">
        <w:t>Los datos pueden agilizar la asignación de recursos y optimizar los procesos, lo que conduce a una mayor eficiencia.</w:t>
      </w:r>
    </w:p>
    <w:p w14:paraId="6446AE95" w14:textId="77777777" w:rsidR="003A4226" w:rsidRPr="003A4226" w:rsidRDefault="003A4226" w:rsidP="003A4226">
      <w:pPr>
        <w:jc w:val="both"/>
        <w:rPr>
          <w:b/>
          <w:bCs/>
        </w:rPr>
      </w:pPr>
      <w:r w:rsidRPr="003A4226">
        <w:rPr>
          <w:b/>
          <w:bCs/>
        </w:rPr>
        <w:t>Conclusión:</w:t>
      </w:r>
    </w:p>
    <w:p w14:paraId="06A463BF" w14:textId="0FAD144B" w:rsidR="003A4226" w:rsidRPr="00944DCA" w:rsidRDefault="003A4226" w:rsidP="003A4226">
      <w:pPr>
        <w:jc w:val="both"/>
      </w:pPr>
      <w:r w:rsidRPr="003A4226">
        <w:t>La iniciativa de Sudáfrica de incluir la presentación obligatoria de informes ESG presenta una</w:t>
      </w:r>
      <w:r w:rsidR="00944DCA">
        <w:t xml:space="preserve"> </w:t>
      </w:r>
      <w:r w:rsidRPr="003A4226">
        <w:rPr>
          <w:b/>
          <w:bCs/>
        </w:rPr>
        <w:t>oportunidad única</w:t>
      </w:r>
      <w:r w:rsidRPr="003A4226">
        <w:t xml:space="preserve">. Al priorizar la integridad de los datos, las empresas no solo pueden cumplir con las regulaciones, sino también demostrar su compromiso con la sostenibilidad, atraer inversores, </w:t>
      </w:r>
      <w:r w:rsidRPr="003A4226">
        <w:lastRenderedPageBreak/>
        <w:t xml:space="preserve">generar confianza y crear un impacto positivo en el medio ambiente y la sociedad. Adopte la integridad de los datos y transforme la presentación de informes ESG de un requisito a una </w:t>
      </w:r>
      <w:r w:rsidRPr="00944DCA">
        <w:t>herramienta poderosa para el éxito a largo plazo.</w:t>
      </w:r>
    </w:p>
    <w:p w14:paraId="6B935327" w14:textId="77777777" w:rsidR="003A4226" w:rsidRPr="00944DCA" w:rsidRDefault="00944DCA" w:rsidP="003A4226">
      <w:pPr>
        <w:jc w:val="both"/>
      </w:pPr>
      <w:hyperlink r:id="rId29" w:tgtFrame="_blank" w:history="1">
        <w:r w:rsidR="003A4226" w:rsidRPr="00944DCA">
          <w:rPr>
            <w:rStyle w:val="Hipervnculo"/>
          </w:rPr>
          <w:t>Haga clic aquí para visitar Gestión de Datos Maestros.</w:t>
        </w:r>
      </w:hyperlink>
    </w:p>
    <w:p w14:paraId="30AB318E" w14:textId="77777777" w:rsidR="003A4226" w:rsidRPr="00944DCA" w:rsidRDefault="003A4226" w:rsidP="003A4226">
      <w:pPr>
        <w:jc w:val="both"/>
      </w:pPr>
    </w:p>
    <w:sectPr w:rsidR="003A4226" w:rsidRPr="00944D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58A"/>
    <w:multiLevelType w:val="multilevel"/>
    <w:tmpl w:val="6D8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2A65A2"/>
    <w:multiLevelType w:val="multilevel"/>
    <w:tmpl w:val="A5A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471DC2"/>
    <w:multiLevelType w:val="multilevel"/>
    <w:tmpl w:val="AAA2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26"/>
    <w:rsid w:val="003A4226"/>
    <w:rsid w:val="005439A3"/>
    <w:rsid w:val="00944DCA"/>
    <w:rsid w:val="00F85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D38E"/>
  <w15:chartTrackingRefBased/>
  <w15:docId w15:val="{C6E4E941-7F5D-43B3-BDA1-139B2BA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4226"/>
    <w:rPr>
      <w:color w:val="0563C1" w:themeColor="hyperlink"/>
      <w:u w:val="single"/>
    </w:rPr>
  </w:style>
  <w:style w:type="character" w:styleId="Mencinsinresolver">
    <w:name w:val="Unresolved Mention"/>
    <w:basedOn w:val="Fuentedeprrafopredeter"/>
    <w:uiPriority w:val="99"/>
    <w:semiHidden/>
    <w:unhideWhenUsed/>
    <w:rsid w:val="003A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365500">
      <w:bodyDiv w:val="1"/>
      <w:marLeft w:val="0"/>
      <w:marRight w:val="0"/>
      <w:marTop w:val="0"/>
      <w:marBottom w:val="0"/>
      <w:divBdr>
        <w:top w:val="none" w:sz="0" w:space="0" w:color="auto"/>
        <w:left w:val="none" w:sz="0" w:space="0" w:color="auto"/>
        <w:bottom w:val="none" w:sz="0" w:space="0" w:color="auto"/>
        <w:right w:val="none" w:sz="0" w:space="0" w:color="auto"/>
      </w:divBdr>
      <w:divsChild>
        <w:div w:id="1413352182">
          <w:marLeft w:val="0"/>
          <w:marRight w:val="0"/>
          <w:marTop w:val="0"/>
          <w:marBottom w:val="0"/>
          <w:divBdr>
            <w:top w:val="none" w:sz="0" w:space="0" w:color="auto"/>
            <w:left w:val="none" w:sz="0" w:space="0" w:color="auto"/>
            <w:bottom w:val="none" w:sz="0" w:space="0" w:color="auto"/>
            <w:right w:val="none" w:sz="0" w:space="0" w:color="auto"/>
          </w:divBdr>
        </w:div>
        <w:div w:id="184446444">
          <w:marLeft w:val="0"/>
          <w:marRight w:val="0"/>
          <w:marTop w:val="300"/>
          <w:marBottom w:val="300"/>
          <w:divBdr>
            <w:top w:val="none" w:sz="0" w:space="0" w:color="auto"/>
            <w:left w:val="none" w:sz="0" w:space="0" w:color="auto"/>
            <w:bottom w:val="none" w:sz="0" w:space="0" w:color="auto"/>
            <w:right w:val="none" w:sz="0" w:space="0" w:color="auto"/>
          </w:divBdr>
        </w:div>
        <w:div w:id="1915818039">
          <w:marLeft w:val="0"/>
          <w:marRight w:val="0"/>
          <w:marTop w:val="600"/>
          <w:marBottom w:val="0"/>
          <w:divBdr>
            <w:top w:val="none" w:sz="0" w:space="0" w:color="auto"/>
            <w:left w:val="none" w:sz="0" w:space="0" w:color="auto"/>
            <w:bottom w:val="none" w:sz="0" w:space="0" w:color="auto"/>
            <w:right w:val="none" w:sz="0" w:space="0" w:color="auto"/>
          </w:divBdr>
          <w:divsChild>
            <w:div w:id="84648368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850796930">
      <w:bodyDiv w:val="1"/>
      <w:marLeft w:val="0"/>
      <w:marRight w:val="0"/>
      <w:marTop w:val="0"/>
      <w:marBottom w:val="0"/>
      <w:divBdr>
        <w:top w:val="none" w:sz="0" w:space="0" w:color="auto"/>
        <w:left w:val="none" w:sz="0" w:space="0" w:color="auto"/>
        <w:bottom w:val="none" w:sz="0" w:space="0" w:color="auto"/>
        <w:right w:val="none" w:sz="0" w:space="0" w:color="auto"/>
      </w:divBdr>
      <w:divsChild>
        <w:div w:id="1257516520">
          <w:marLeft w:val="0"/>
          <w:marRight w:val="0"/>
          <w:marTop w:val="360"/>
          <w:marBottom w:val="0"/>
          <w:divBdr>
            <w:top w:val="none" w:sz="0" w:space="0" w:color="auto"/>
            <w:left w:val="none" w:sz="0" w:space="0" w:color="auto"/>
            <w:bottom w:val="none" w:sz="0" w:space="0" w:color="auto"/>
            <w:right w:val="none" w:sz="0" w:space="0" w:color="auto"/>
          </w:divBdr>
        </w:div>
      </w:divsChild>
    </w:div>
    <w:div w:id="2024622282">
      <w:bodyDiv w:val="1"/>
      <w:marLeft w:val="0"/>
      <w:marRight w:val="0"/>
      <w:marTop w:val="0"/>
      <w:marBottom w:val="0"/>
      <w:divBdr>
        <w:top w:val="none" w:sz="0" w:space="0" w:color="auto"/>
        <w:left w:val="none" w:sz="0" w:space="0" w:color="auto"/>
        <w:bottom w:val="none" w:sz="0" w:space="0" w:color="auto"/>
        <w:right w:val="none" w:sz="0" w:space="0" w:color="auto"/>
      </w:divBdr>
      <w:divsChild>
        <w:div w:id="380400792">
          <w:marLeft w:val="0"/>
          <w:marRight w:val="0"/>
          <w:marTop w:val="0"/>
          <w:marBottom w:val="0"/>
          <w:divBdr>
            <w:top w:val="none" w:sz="0" w:space="0" w:color="auto"/>
            <w:left w:val="none" w:sz="0" w:space="0" w:color="auto"/>
            <w:bottom w:val="none" w:sz="0" w:space="0" w:color="auto"/>
            <w:right w:val="none" w:sz="0" w:space="0" w:color="auto"/>
          </w:divBdr>
        </w:div>
        <w:div w:id="651520460">
          <w:marLeft w:val="0"/>
          <w:marRight w:val="0"/>
          <w:marTop w:val="300"/>
          <w:marBottom w:val="300"/>
          <w:divBdr>
            <w:top w:val="none" w:sz="0" w:space="0" w:color="auto"/>
            <w:left w:val="none" w:sz="0" w:space="0" w:color="auto"/>
            <w:bottom w:val="none" w:sz="0" w:space="0" w:color="auto"/>
            <w:right w:val="none" w:sz="0" w:space="0" w:color="auto"/>
          </w:divBdr>
        </w:div>
        <w:div w:id="1168516412">
          <w:marLeft w:val="0"/>
          <w:marRight w:val="0"/>
          <w:marTop w:val="600"/>
          <w:marBottom w:val="0"/>
          <w:divBdr>
            <w:top w:val="none" w:sz="0" w:space="0" w:color="auto"/>
            <w:left w:val="none" w:sz="0" w:space="0" w:color="auto"/>
            <w:bottom w:val="none" w:sz="0" w:space="0" w:color="auto"/>
            <w:right w:val="none" w:sz="0" w:space="0" w:color="auto"/>
          </w:divBdr>
          <w:divsChild>
            <w:div w:id="178349682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c.co.za/?p=21623" TargetMode="External"/><Relationship Id="rId13" Type="http://schemas.openxmlformats.org/officeDocument/2006/relationships/hyperlink" Target="https://www.xbrl.org/tag/taxonomy/" TargetMode="External"/><Relationship Id="rId18" Type="http://schemas.openxmlformats.org/officeDocument/2006/relationships/hyperlink" Target="https://companies.mybroadband.co.za/masterdatamanagement/2024/04/09/south-africa-takes-the-lead-demystifying-esg-reporting-and-the-power-of-data-integrity/" TargetMode="External"/><Relationship Id="rId26" Type="http://schemas.openxmlformats.org/officeDocument/2006/relationships/hyperlink" Target="https://www.masterdata.co.za/index.php/dq-solutions" TargetMode="External"/><Relationship Id="rId3" Type="http://schemas.openxmlformats.org/officeDocument/2006/relationships/settings" Target="settings.xml"/><Relationship Id="rId21" Type="http://schemas.openxmlformats.org/officeDocument/2006/relationships/hyperlink" Target="https://www.xbrl.org/tag/issb/" TargetMode="External"/><Relationship Id="rId7" Type="http://schemas.openxmlformats.org/officeDocument/2006/relationships/hyperlink" Target="https://www.xbrl.org/news/south-africas-esg-reporting-revolution/" TargetMode="External"/><Relationship Id="rId12" Type="http://schemas.openxmlformats.org/officeDocument/2006/relationships/hyperlink" Target="https://www.xbrl.org/tag/south-africa/" TargetMode="External"/><Relationship Id="rId17" Type="http://schemas.openxmlformats.org/officeDocument/2006/relationships/hyperlink" Target="https://companies.mybroadband.co.za/masterdatamanagement/2024/04/09/south-africa-takes-the-lead-demystifying-esg-reporting-and-the-power-of-data-integrity/" TargetMode="External"/><Relationship Id="rId25" Type="http://schemas.openxmlformats.org/officeDocument/2006/relationships/hyperlink" Target="https://blog.masterdata.co.za/2024/04/09/demystifying-esg-south-africas-growing-focus-on-sustainability-reporting/"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xbrl.org/tag/esg/" TargetMode="External"/><Relationship Id="rId29" Type="http://schemas.openxmlformats.org/officeDocument/2006/relationships/hyperlink" Target="https://www.masterdata.co.za/" TargetMode="External"/><Relationship Id="rId1" Type="http://schemas.openxmlformats.org/officeDocument/2006/relationships/numbering" Target="numbering.xml"/><Relationship Id="rId6" Type="http://schemas.openxmlformats.org/officeDocument/2006/relationships/hyperlink" Target="https://www.xbrl.org/news/south-africa-takes-the-lead-on-digital-sustainability-disclosures/" TargetMode="External"/><Relationship Id="rId11" Type="http://schemas.openxmlformats.org/officeDocument/2006/relationships/hyperlink" Target="https://www.xbrl.org/tag/issb-taxonomy/" TargetMode="External"/><Relationship Id="rId24" Type="http://schemas.openxmlformats.org/officeDocument/2006/relationships/hyperlink" Target="https://www.masterdata.co.za/index.php/data-integrity" TargetMode="External"/><Relationship Id="rId5" Type="http://schemas.openxmlformats.org/officeDocument/2006/relationships/image" Target="media/image1.jpeg"/><Relationship Id="rId15" Type="http://schemas.openxmlformats.org/officeDocument/2006/relationships/hyperlink" Target="https://www.xbrl.org/news/south-africas-esg-reporting-revolution/" TargetMode="External"/><Relationship Id="rId23" Type="http://schemas.openxmlformats.org/officeDocument/2006/relationships/image" Target="media/image3.png"/><Relationship Id="rId28" Type="http://schemas.openxmlformats.org/officeDocument/2006/relationships/hyperlink" Target="https://blog.masterdata.co.za/2020/03/03/decision-makers-dont-want-the-weeds/" TargetMode="External"/><Relationship Id="rId10" Type="http://schemas.openxmlformats.org/officeDocument/2006/relationships/hyperlink" Target="https://www.xbrl.org/tag/issb/" TargetMode="External"/><Relationship Id="rId19" Type="http://schemas.openxmlformats.org/officeDocument/2006/relationships/hyperlink" Target="https://www.xbrl.org/tag/cip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cipc/" TargetMode="External"/><Relationship Id="rId14" Type="http://schemas.openxmlformats.org/officeDocument/2006/relationships/hyperlink" Target="https://www.xbrl.org/tag/sustainability/" TargetMode="External"/><Relationship Id="rId22" Type="http://schemas.openxmlformats.org/officeDocument/2006/relationships/hyperlink" Target="https://www.xbrl.org/tag/south-africa/" TargetMode="External"/><Relationship Id="rId27" Type="http://schemas.openxmlformats.org/officeDocument/2006/relationships/hyperlink" Target="https://www.masterdata.co.za/index.php/improving-data-integrity-and-trust-through-transparency-and-enrichment"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1524</Words>
  <Characters>8386</Characters>
  <Application>Microsoft Office Word</Application>
  <DocSecurity>0</DocSecurity>
  <Lines>69</Lines>
  <Paragraphs>19</Paragraphs>
  <ScaleCrop>false</ScaleCrop>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2024-10-26T02:58:00Z</dcterms:created>
  <dcterms:modified xsi:type="dcterms:W3CDTF">2024-10-29T02:30:00Z</dcterms:modified>
</cp:coreProperties>
</file>