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09C1" w14:textId="4ECFC81C" w:rsidR="00142A41" w:rsidRPr="00142A41" w:rsidRDefault="00142A41" w:rsidP="00142A41">
      <w:pPr>
        <w:rPr>
          <w:sz w:val="28"/>
          <w:szCs w:val="28"/>
        </w:rPr>
      </w:pPr>
      <w:r w:rsidRPr="00142A41">
        <w:rPr>
          <w:sz w:val="28"/>
          <w:szCs w:val="28"/>
        </w:rPr>
        <w:t>Tendencias del sistema financiero en seis gráficos</w:t>
      </w:r>
    </w:p>
    <w:p w14:paraId="0940EA96" w14:textId="77777777" w:rsidR="00142A41" w:rsidRPr="006D490B" w:rsidRDefault="006D490B" w:rsidP="00616EDD">
      <w:pPr>
        <w:numPr>
          <w:ilvl w:val="0"/>
          <w:numId w:val="1"/>
        </w:numPr>
        <w:spacing w:after="0"/>
      </w:pPr>
      <w:hyperlink r:id="rId5" w:history="1">
        <w:r w:rsidR="00142A41" w:rsidRPr="006D490B">
          <w:rPr>
            <w:rStyle w:val="Hipervnculo"/>
          </w:rPr>
          <w:t>Jean Pesme</w:t>
        </w:r>
      </w:hyperlink>
    </w:p>
    <w:p w14:paraId="1A743C2F" w14:textId="77777777" w:rsidR="00142A41" w:rsidRPr="006D490B" w:rsidRDefault="006D490B" w:rsidP="00616EDD">
      <w:pPr>
        <w:numPr>
          <w:ilvl w:val="0"/>
          <w:numId w:val="1"/>
        </w:numPr>
        <w:spacing w:after="0"/>
      </w:pPr>
      <w:hyperlink r:id="rId6" w:history="1">
        <w:r w:rsidR="00142A41" w:rsidRPr="006D490B">
          <w:rPr>
            <w:rStyle w:val="Hipervnculo"/>
          </w:rPr>
          <w:t>Erik Feyen</w:t>
        </w:r>
      </w:hyperlink>
    </w:p>
    <w:p w14:paraId="783599AF" w14:textId="77777777" w:rsidR="00142A41" w:rsidRPr="006D490B" w:rsidRDefault="006D490B" w:rsidP="00142A41">
      <w:pPr>
        <w:numPr>
          <w:ilvl w:val="0"/>
          <w:numId w:val="1"/>
        </w:numPr>
      </w:pPr>
      <w:hyperlink r:id="rId7" w:history="1">
        <w:r w:rsidR="00142A41" w:rsidRPr="006D490B">
          <w:rPr>
            <w:rStyle w:val="Hipervnculo"/>
          </w:rPr>
          <w:t>Fiona Stewart</w:t>
        </w:r>
      </w:hyperlink>
    </w:p>
    <w:p w14:paraId="3B55BAC5" w14:textId="7BBB19CD" w:rsidR="00142A41" w:rsidRPr="006D490B" w:rsidRDefault="0098638D" w:rsidP="00142A41">
      <w:r w:rsidRPr="006D490B">
        <w:t>S</w:t>
      </w:r>
      <w:r w:rsidR="00142A41" w:rsidRPr="006D490B">
        <w:t>eptiembre 25, 2024</w:t>
      </w:r>
    </w:p>
    <w:p w14:paraId="3ADDD678" w14:textId="77777777" w:rsidR="00142A41" w:rsidRDefault="006D490B" w:rsidP="00142A41">
      <w:pPr>
        <w:jc w:val="both"/>
      </w:pPr>
      <w:hyperlink r:id="rId8" w:history="1">
        <w:r w:rsidR="00142A41" w:rsidRPr="00142A41">
          <w:rPr>
            <w:rStyle w:val="Hipervnculo"/>
          </w:rPr>
          <w:t>Las vulnerabilidades del sector financiero en las economías de mercados emergentes y en desarrollo (EMED, por sus siglas en inglés) se dividen en gran medida en función de los ingresos.</w:t>
        </w:r>
      </w:hyperlink>
      <w:r w:rsidR="00142A41" w:rsidRPr="00142A41">
        <w:t> Si bien las vulnerabilidades son de bajas a moderadas en las economías emergentes y emergentes de ingresos más altos, la mitad de los países de ingresos más bajos enfrentan riesgos mucho mayores. Además, en muchos países se han estancado los avances en los objetivos de desarrollo financiero, como la profundización del mercado de capitales locales. Sin embargo, se han logrado avances en la inclusión financiera de las personas y en los esfuerzos por ecologizar el sector financiero.</w:t>
      </w:r>
    </w:p>
    <w:p w14:paraId="543C8890" w14:textId="77777777" w:rsidR="00142A41" w:rsidRDefault="00142A41" w:rsidP="00142A41">
      <w:pPr>
        <w:jc w:val="both"/>
      </w:pPr>
      <w:r w:rsidRPr="00142A41">
        <w:t>Mientras tanto, los bancos de la EMED aumentaron sustancialmente sus tenencias de deuda pública. Estas exposiciones se sitúan actualmente en su nivel más alto en una década y someten al sector financiero a riesgos adicionales, en particular en países con políticas macroeconómicas más débiles y problemas de sostenibilidad de la deuda pública.</w:t>
      </w:r>
    </w:p>
    <w:p w14:paraId="5F439F16" w14:textId="628BFD29" w:rsidR="00142A41" w:rsidRPr="00142A41" w:rsidRDefault="00142A41" w:rsidP="00142A41">
      <w:pPr>
        <w:jc w:val="both"/>
      </w:pPr>
      <w:r w:rsidRPr="00142A41">
        <w:t>Además, el cambio climático es especialmente difícil para las economías emergentes y en desarrollo, ya que se enfrentan a mayores riesgos que las economías avanzadas, así como a mayores déficits de financiación climática. A pesar de ser la mayor fuente de financiación, el sector bancario de las economías emergentes y en desarrollo solo proporciona una financiación climática limitada. Las autoridades bancarias de la EMED están empezando a adoptar herramientas e innovar en sus enfoques para abordar las vulnerabilidades del sector financiero relacionadas con el clima y las brechas de financiación climática, aunque deberán evitar comprometer objetivos importantes de estabilidad financiera e inclusión.</w:t>
      </w:r>
    </w:p>
    <w:p w14:paraId="403AEA55" w14:textId="77777777" w:rsidR="00142A41" w:rsidRPr="00142A41" w:rsidRDefault="00142A41" w:rsidP="00142A41">
      <w:pPr>
        <w:jc w:val="both"/>
        <w:rPr>
          <w:b/>
          <w:bCs/>
        </w:rPr>
      </w:pPr>
      <w:r w:rsidRPr="00142A41">
        <w:rPr>
          <w:b/>
          <w:bCs/>
        </w:rPr>
        <w:t>Gráfico #1: Las vulnerabilidades del sector financiero se dividen según los ingresos</w:t>
      </w:r>
    </w:p>
    <w:p w14:paraId="7502B622" w14:textId="2377D70E" w:rsidR="00142A41" w:rsidRDefault="00142A41" w:rsidP="00142A41">
      <w:pPr>
        <w:jc w:val="both"/>
      </w:pPr>
      <w:r w:rsidRPr="00142A41">
        <w:t>Las perspectivas de riesgo del sector financiero para las economías emergentes y en desarrollo se dividen en gran medida en función de los ingresos. En los próximos 12 meses, las vulnerabilidades parecen de bajas a moderadas en las economías emergentes y emergentes de ingresos más altos, mientras que varios países de ingresos más bajos son significativamente más vulnerables. En muchos de estos países, las vulnerabilidades internas se ven exacerbadas por los riesgos globales relacionados con la política monetaria y las perspectivas de crecimiento en las economías avanzadas, así como por los conflictos geopolíticos.</w:t>
      </w:r>
    </w:p>
    <w:p w14:paraId="2F3C8277" w14:textId="4AB52C78" w:rsidR="00142A41" w:rsidRPr="00142A41" w:rsidRDefault="00142A41" w:rsidP="00142A41">
      <w:pPr>
        <w:jc w:val="both"/>
      </w:pPr>
      <w:r w:rsidRPr="00142A41">
        <w:t>La evaluación del riesgo país se basa en el juicio de expertos del Banco Mundial, basado en el estado del marco de política del sector financiero y en datos macroeconómicos y financieros.</w:t>
      </w:r>
    </w:p>
    <w:p w14:paraId="3F65E2ED" w14:textId="482BBE3D" w:rsidR="00142A41" w:rsidRDefault="00142A41" w:rsidP="00142A41">
      <w:r w:rsidRPr="00142A41">
        <w:rPr>
          <w:noProof/>
        </w:rPr>
        <w:lastRenderedPageBreak/>
        <w:drawing>
          <wp:inline distT="0" distB="0" distL="0" distR="0" wp14:anchorId="18C3273D" wp14:editId="20B483A9">
            <wp:extent cx="5612130" cy="385064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850640"/>
                    </a:xfrm>
                    <a:prstGeom prst="rect">
                      <a:avLst/>
                    </a:prstGeom>
                  </pic:spPr>
                </pic:pic>
              </a:graphicData>
            </a:graphic>
          </wp:inline>
        </w:drawing>
      </w:r>
    </w:p>
    <w:p w14:paraId="512E0DD0" w14:textId="77777777" w:rsidR="00142A41" w:rsidRPr="00142A41" w:rsidRDefault="00142A41" w:rsidP="00142A41"/>
    <w:p w14:paraId="42BF73D1" w14:textId="77777777" w:rsidR="00142A41" w:rsidRPr="00142A41" w:rsidRDefault="006D490B" w:rsidP="00142A41">
      <w:r>
        <w:pict w14:anchorId="681F65BB">
          <v:rect id="_x0000_i1025" style="width:630pt;height:.75pt" o:hrpct="0" o:hralign="center" o:hrstd="t" o:hr="t" fillcolor="#a0a0a0" stroked="f"/>
        </w:pict>
      </w:r>
    </w:p>
    <w:p w14:paraId="45CAEAF9" w14:textId="4045B2DE" w:rsidR="00142A41" w:rsidRPr="00142A41" w:rsidRDefault="00142A41" w:rsidP="00142A41">
      <w:pPr>
        <w:jc w:val="both"/>
        <w:rPr>
          <w:b/>
          <w:bCs/>
        </w:rPr>
      </w:pPr>
      <w:r w:rsidRPr="00142A41">
        <w:rPr>
          <w:b/>
          <w:bCs/>
        </w:rPr>
        <w:t>Gráfico #2: Las economías emergentes y en desarrollo con grandes vulnerabilidades financieras a menudo carecen de la capacidad para hacer frente a las tensiones del sector financiero</w:t>
      </w:r>
    </w:p>
    <w:p w14:paraId="14A52854" w14:textId="4CEBC125" w:rsidR="00142A41" w:rsidRDefault="006D490B" w:rsidP="00142A41">
      <w:pPr>
        <w:jc w:val="both"/>
      </w:pPr>
      <w:hyperlink r:id="rId10" w:history="1">
        <w:r w:rsidR="00142A41" w:rsidRPr="00142A41">
          <w:rPr>
            <w:rStyle w:val="Hipervnculo"/>
          </w:rPr>
          <w:t>En la actualidad, la mayoría de los países que se enfrentan a grandes riesgos en el sector financiero no están bien preparados para hacer frente a las tensiones del sector financiero.</w:t>
        </w:r>
      </w:hyperlink>
      <w:r w:rsidR="00142A41" w:rsidRPr="00142A41">
        <w:t> Se enfrentan a importantes deficiencias en los marcos de regulación y supervisión, y los componentes esenciales de los marcos de gestión de crisis, y las redes de protección del sector financiero a menudo son inexistentes o inadecuadas. Estos países vulnerables deben tomar medidas urgentes para remediar las brechas críticas de políticas e instituciones a fin de mejorar la resiliencia de sus sectores financieros.</w:t>
      </w:r>
    </w:p>
    <w:p w14:paraId="0B5D81C2" w14:textId="1C39FA61" w:rsidR="00142A41" w:rsidRPr="00142A41" w:rsidRDefault="00142A41" w:rsidP="00142A41">
      <w:r w:rsidRPr="00142A41">
        <w:rPr>
          <w:noProof/>
        </w:rPr>
        <w:lastRenderedPageBreak/>
        <w:drawing>
          <wp:inline distT="0" distB="0" distL="0" distR="0" wp14:anchorId="77470D36" wp14:editId="4AA1D35F">
            <wp:extent cx="5612130" cy="381190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811905"/>
                    </a:xfrm>
                    <a:prstGeom prst="rect">
                      <a:avLst/>
                    </a:prstGeom>
                  </pic:spPr>
                </pic:pic>
              </a:graphicData>
            </a:graphic>
          </wp:inline>
        </w:drawing>
      </w:r>
    </w:p>
    <w:p w14:paraId="1F08D823" w14:textId="02B16A22" w:rsidR="00142A41" w:rsidRPr="00142A41" w:rsidRDefault="00142A41" w:rsidP="00142A41"/>
    <w:p w14:paraId="31588457" w14:textId="77777777" w:rsidR="00142A41" w:rsidRPr="00142A41" w:rsidRDefault="006D490B" w:rsidP="00142A41">
      <w:r>
        <w:pict w14:anchorId="178EAAA0">
          <v:rect id="_x0000_i1026" style="width:630pt;height:.75pt" o:hrpct="0" o:hralign="center" o:hrstd="t" o:hr="t" fillcolor="#a0a0a0" stroked="f"/>
        </w:pict>
      </w:r>
    </w:p>
    <w:p w14:paraId="2BD9DE57" w14:textId="2C6390A9" w:rsidR="00142A41" w:rsidRPr="00142A41" w:rsidRDefault="00142A41" w:rsidP="00142A41">
      <w:pPr>
        <w:jc w:val="both"/>
        <w:rPr>
          <w:b/>
          <w:bCs/>
        </w:rPr>
      </w:pPr>
      <w:r w:rsidRPr="00142A41">
        <w:rPr>
          <w:b/>
          <w:bCs/>
        </w:rPr>
        <w:t>Gráfico #3: Los bancos de los países con dificultades de endeudamiento tienen una mayor exposición a la deuda pública</w:t>
      </w:r>
    </w:p>
    <w:p w14:paraId="60337630" w14:textId="5F2555F6" w:rsidR="00142A41" w:rsidRPr="00142A41" w:rsidRDefault="00142A41" w:rsidP="00142A41">
      <w:pPr>
        <w:jc w:val="both"/>
      </w:pPr>
      <w:r w:rsidRPr="00142A41">
        <w:t>Los bancos de los mercados emergentes y en desarrollo aumentaron sustancialmente sus tenencias de deuda pública en los últimos años, una situación conocida como el nexo entre la deuda soberana y los bancos.</w:t>
      </w:r>
      <w:r w:rsidR="006D490B">
        <w:t xml:space="preserve"> </w:t>
      </w:r>
      <w:hyperlink r:id="rId12" w:history="1">
        <w:r w:rsidRPr="00142A41">
          <w:rPr>
            <w:rStyle w:val="Hipervnculo"/>
          </w:rPr>
          <w:t>La exposición de los bancos a la deuda pública en las economías emergentes y en desarrollo aumentó más de un 35% entre 2012 y 2023, ya que los gobiernos se endeudaron más, en parte para hacer frente a la pandemia de COVID-19.</w:t>
        </w:r>
      </w:hyperlink>
      <w:r w:rsidR="006D490B">
        <w:t xml:space="preserve"> </w:t>
      </w:r>
      <w:r w:rsidRPr="00142A41">
        <w:t>La exposición aumentó aún más, en más del 50 por ciento, en los países con dificultades de deuda.</w:t>
      </w:r>
    </w:p>
    <w:p w14:paraId="3149ED53" w14:textId="5CDFAE9B" w:rsidR="00142A41" w:rsidRDefault="00142A41" w:rsidP="00142A41">
      <w:r w:rsidRPr="00142A41">
        <w:rPr>
          <w:noProof/>
        </w:rPr>
        <w:lastRenderedPageBreak/>
        <w:drawing>
          <wp:inline distT="0" distB="0" distL="0" distR="0" wp14:anchorId="4CCDE724" wp14:editId="3AFED289">
            <wp:extent cx="5612130" cy="5877560"/>
            <wp:effectExtent l="0" t="0" r="762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5877560"/>
                    </a:xfrm>
                    <a:prstGeom prst="rect">
                      <a:avLst/>
                    </a:prstGeom>
                  </pic:spPr>
                </pic:pic>
              </a:graphicData>
            </a:graphic>
          </wp:inline>
        </w:drawing>
      </w:r>
    </w:p>
    <w:p w14:paraId="7C22537A" w14:textId="77777777" w:rsidR="00142A41" w:rsidRPr="00142A41" w:rsidRDefault="006D490B" w:rsidP="00142A41">
      <w:r>
        <w:pict w14:anchorId="57348C72">
          <v:rect id="_x0000_i1027" style="width:630pt;height:.75pt" o:hrpct="0" o:hralign="center" o:hrstd="t" o:hr="t" fillcolor="#a0a0a0" stroked="f"/>
        </w:pict>
      </w:r>
    </w:p>
    <w:p w14:paraId="4BE976B7" w14:textId="20E1D467" w:rsidR="00142A41" w:rsidRPr="00142A41" w:rsidRDefault="00142A41" w:rsidP="00142A41">
      <w:pPr>
        <w:jc w:val="both"/>
        <w:rPr>
          <w:b/>
          <w:bCs/>
        </w:rPr>
      </w:pPr>
      <w:r w:rsidRPr="00142A41">
        <w:rPr>
          <w:b/>
          <w:bCs/>
        </w:rPr>
        <w:t>Gráfico #4: El riesgo de crisis conjuntas de deuda pública y banca es elevado en algunos países</w:t>
      </w:r>
    </w:p>
    <w:p w14:paraId="567C2D03" w14:textId="6B2B1980" w:rsidR="00142A41" w:rsidRPr="00142A41" w:rsidRDefault="00142A41" w:rsidP="00142A41">
      <w:pPr>
        <w:jc w:val="both"/>
      </w:pPr>
      <w:r w:rsidRPr="00142A41">
        <w:t>La excesiva exposición a la deuda pública de los bancos de los mercados emergentes y en desarrollo significa que las dificultades de la deuda pública podrían ser contagiosas y desencadenar crisis bancarias. Esas crisis combinadas han sido particularmente dañinas en el pasado, dejando el PIB per cápita significativamente más bajo de lo que sería de otro modo.</w:t>
      </w:r>
      <w:r w:rsidR="006D490B">
        <w:t xml:space="preserve"> </w:t>
      </w:r>
      <w:hyperlink r:id="rId14" w:history="1">
        <w:r w:rsidRPr="00142A41">
          <w:rPr>
            <w:rStyle w:val="Hipervnculo"/>
          </w:rPr>
          <w:t>Un nuevo análisis revela que los países con un alto nexo entre la deuda soberana y los bancos tienden a estar menos preparados para hacer frente a las tensiones financieras.</w:t>
        </w:r>
      </w:hyperlink>
      <w:r w:rsidR="006D490B">
        <w:t xml:space="preserve"> </w:t>
      </w:r>
      <w:r w:rsidRPr="00142A41">
        <w:t xml:space="preserve">Si bien son necesarias políticas más amplias que preserven la sostenibilidad de la deuda pública y la estabilidad macroeconómica, las autoridades bancarias de la EMED deben reforzar sus marcos de gestión de crisis financieras y de red de seguridad y considerar la posibilidad de introducir requisitos de divulgación de información sobre </w:t>
      </w:r>
      <w:r w:rsidRPr="00142A41">
        <w:lastRenderedPageBreak/>
        <w:t>las exposiciones de los bancos al gobierno para alentar a los bancos a asumir riesgos con mayor prudencia y fomentar la disciplina del mercado.</w:t>
      </w:r>
    </w:p>
    <w:p w14:paraId="74D7A075" w14:textId="5F4E5F95" w:rsidR="00142A41" w:rsidRDefault="00142A41" w:rsidP="00142A41">
      <w:r w:rsidRPr="00142A41">
        <w:rPr>
          <w:noProof/>
        </w:rPr>
        <w:drawing>
          <wp:inline distT="0" distB="0" distL="0" distR="0" wp14:anchorId="5DCAEB71" wp14:editId="0A3CF34C">
            <wp:extent cx="5612130" cy="511429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5114290"/>
                    </a:xfrm>
                    <a:prstGeom prst="rect">
                      <a:avLst/>
                    </a:prstGeom>
                  </pic:spPr>
                </pic:pic>
              </a:graphicData>
            </a:graphic>
          </wp:inline>
        </w:drawing>
      </w:r>
    </w:p>
    <w:p w14:paraId="0F339694" w14:textId="77777777" w:rsidR="00142A41" w:rsidRPr="00142A41" w:rsidRDefault="006D490B" w:rsidP="00142A41">
      <w:r>
        <w:pict w14:anchorId="15FCE6D4">
          <v:rect id="_x0000_i1028" style="width:630pt;height:.75pt" o:hrpct="0" o:hralign="center" o:hrstd="t" o:hr="t" fillcolor="#a0a0a0" stroked="f"/>
        </w:pict>
      </w:r>
    </w:p>
    <w:p w14:paraId="492458CC" w14:textId="59593D14" w:rsidR="00142A41" w:rsidRPr="00142A41" w:rsidRDefault="00142A41" w:rsidP="00142A41">
      <w:pPr>
        <w:jc w:val="both"/>
        <w:rPr>
          <w:b/>
          <w:bCs/>
        </w:rPr>
      </w:pPr>
      <w:r w:rsidRPr="00142A41">
        <w:rPr>
          <w:b/>
          <w:bCs/>
        </w:rPr>
        <w:t>Gráfico #5: Los bancos de los mercados emergentes y en desarrollo dominan el sector financiero, pero actualmente proporcionan muy poca financiación climática</w:t>
      </w:r>
    </w:p>
    <w:p w14:paraId="126F6A52" w14:textId="57A23D09" w:rsidR="00142A41" w:rsidRPr="00142A41" w:rsidRDefault="006D490B" w:rsidP="00142A41">
      <w:pPr>
        <w:jc w:val="both"/>
      </w:pPr>
      <w:hyperlink r:id="rId16" w:history="1">
        <w:r w:rsidR="00142A41" w:rsidRPr="00142A41">
          <w:rPr>
            <w:rStyle w:val="Hipervnculo"/>
          </w:rPr>
          <w:t>Además de los elevados riesgos climáticos, las economías emergentes y en desarrollo se enfrentan a una escasez sustancial de financiación para un crecimiento con bajas emisiones de carbono y resiliente al clima, con una financiación nacional y del sector privado más limitada para los objetivos climáticos.</w:t>
        </w:r>
      </w:hyperlink>
      <w:r>
        <w:t xml:space="preserve"> </w:t>
      </w:r>
      <w:r w:rsidR="00142A41" w:rsidRPr="00142A41">
        <w:t>La mayor parte del financiamiento climático se canaliza hacia China y las economías avanzadas, principalmente con fines de mitigación. La adaptación representa solo el 16 por ciento del financiamiento climático nacional e internacional en las economías en desarrollo (excluyendo a China) se canaliza para la adaptación. De est</w:t>
      </w:r>
      <w:r w:rsidR="00CE72C9">
        <w:t>e</w:t>
      </w:r>
      <w:r w:rsidR="00142A41" w:rsidRPr="00142A41">
        <w:t xml:space="preserve"> pequeñ</w:t>
      </w:r>
      <w:r w:rsidR="00CE72C9">
        <w:t>o</w:t>
      </w:r>
      <w:r w:rsidR="00142A41" w:rsidRPr="00142A41">
        <w:t xml:space="preserve"> porcentaje, el 98 por ciento son recursos públicos o financiamiento oficial.</w:t>
      </w:r>
    </w:p>
    <w:p w14:paraId="574E87F5" w14:textId="487CA66B" w:rsidR="00142A41" w:rsidRPr="00142A41" w:rsidRDefault="00142A41" w:rsidP="00142A41">
      <w:pPr>
        <w:spacing w:after="0"/>
      </w:pPr>
      <w:r w:rsidRPr="00142A41">
        <w:rPr>
          <w:noProof/>
        </w:rPr>
        <w:lastRenderedPageBreak/>
        <w:drawing>
          <wp:inline distT="0" distB="0" distL="0" distR="0" wp14:anchorId="710925D8" wp14:editId="4A5ABAAB">
            <wp:extent cx="5612130" cy="538670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5386705"/>
                    </a:xfrm>
                    <a:prstGeom prst="rect">
                      <a:avLst/>
                    </a:prstGeom>
                  </pic:spPr>
                </pic:pic>
              </a:graphicData>
            </a:graphic>
          </wp:inline>
        </w:drawing>
      </w:r>
    </w:p>
    <w:p w14:paraId="7AC2965F" w14:textId="77777777" w:rsidR="00142A41" w:rsidRPr="00142A41" w:rsidRDefault="00142A41" w:rsidP="00142A41">
      <w:pPr>
        <w:jc w:val="both"/>
        <w:rPr>
          <w:sz w:val="20"/>
          <w:szCs w:val="20"/>
        </w:rPr>
      </w:pPr>
      <w:r w:rsidRPr="00142A41">
        <w:rPr>
          <w:i/>
          <w:iCs/>
          <w:sz w:val="20"/>
          <w:szCs w:val="20"/>
        </w:rPr>
        <w:t>Fuente: Cálculo del personal técnico del Banco Mundial basado en Buchner et al. (2023) y Banco Mundial (2023d) Nota: Panel a: Debido al redondeo, es posible que las cifras presentadas no coincidan completamente en los diferentes flujos. "Objetivos múltiples" abarca el financiamiento de proyectos que proporcionan beneficios tanto de mitigación como de adaptación. "Desconocido" implica usos que no se pueden rastrear completamente. "Regional" se refiere a los flujos climáticos que no se limitan a una sola región, sino que se extienden a través de varias regiones. bn = mil millones; EAP = Asia Oriental y el Pacífico; ECA = Europa y Asia Central; LAC = América Latina y el Caribe; MENA = Oriente Medio y Norte de África; SAR = región de Asia Meridional; África subsahariana = África subsahariana.</w:t>
      </w:r>
    </w:p>
    <w:p w14:paraId="548F827E" w14:textId="0407656B" w:rsidR="00142A41" w:rsidRDefault="00142A41" w:rsidP="00142A41">
      <w:pPr>
        <w:jc w:val="both"/>
      </w:pPr>
      <w:r w:rsidRPr="00142A41">
        <w:t>Los bancos dominan el panorama del sector financiero en estos países. Con más del 80 por ciento de los activos del sector financiero, tienen el potencial de desempeñar un papel importante en la financiación de la adaptación y mitigación del cambio climático. Sin embargo, según una encuesta del Banco Mundial, el financiamiento climático representa el 5 por ciento o menos de la cartera de préstamos de casi el 60 por ciento de los bancos de mercados emergentes y en desarrollo, y el 28 por ciento no proporciona ningún tipo de financiamiento climático.</w:t>
      </w:r>
    </w:p>
    <w:p w14:paraId="71C32F85" w14:textId="77777777" w:rsidR="00142A41" w:rsidRPr="00142A41" w:rsidRDefault="006D490B" w:rsidP="00142A41">
      <w:r>
        <w:pict w14:anchorId="2B1657AD">
          <v:rect id="_x0000_i1029" style="width:630pt;height:.75pt" o:hrpct="0" o:hralign="center" o:hrstd="t" o:hr="t" fillcolor="#a0a0a0" stroked="f"/>
        </w:pict>
      </w:r>
    </w:p>
    <w:p w14:paraId="680307E3" w14:textId="26C83A84" w:rsidR="00142A41" w:rsidRPr="00142A41" w:rsidRDefault="00142A41" w:rsidP="00142A41">
      <w:pPr>
        <w:jc w:val="both"/>
        <w:rPr>
          <w:b/>
          <w:bCs/>
        </w:rPr>
      </w:pPr>
      <w:r w:rsidRPr="00142A41">
        <w:rPr>
          <w:b/>
          <w:bCs/>
        </w:rPr>
        <w:lastRenderedPageBreak/>
        <w:t>Gráfico #6: Las autoridades bancarias de la EMED han comenzado a abordar el cambio climático, pero aún queda mucho trabajo por hacer</w:t>
      </w:r>
    </w:p>
    <w:p w14:paraId="575271FF" w14:textId="1B8AB37B" w:rsidR="00142A41" w:rsidRPr="00142A41" w:rsidRDefault="00142A41" w:rsidP="00142A41">
      <w:pPr>
        <w:jc w:val="both"/>
      </w:pPr>
      <w:r w:rsidRPr="00142A41">
        <w:t>Los bancos centrales y las autoridades prudenciales están empezando a aplicar enfoques para abordar los riesgos del sector financiero relacionados con el clima y movilizar la financiación climática, aunque faltan orientaciones para aplicarlos y su eficacia potencial es mixta y no está probada en algunos casos. Por lo tanto, las autoridades bancarias deben cuidar de priorizar la estabilidad financiera y continuar promoviendo la inclusión y la eficiencia financieras. Según la experiencia hasta la fecha, las herramientas se pueden dividir en tres categorías:</w:t>
      </w:r>
      <w:r w:rsidR="006D490B">
        <w:t xml:space="preserve"> </w:t>
      </w:r>
      <w:r w:rsidRPr="00142A41">
        <w:rPr>
          <w:i/>
          <w:iCs/>
        </w:rPr>
        <w:t>ganar-ganar</w:t>
      </w:r>
      <w:r w:rsidRPr="00142A41">
        <w:t>,</w:t>
      </w:r>
      <w:r w:rsidR="006D490B">
        <w:t xml:space="preserve"> </w:t>
      </w:r>
      <w:r w:rsidRPr="00142A41">
        <w:rPr>
          <w:i/>
          <w:iCs/>
        </w:rPr>
        <w:t>el jurado aún está deliberando</w:t>
      </w:r>
      <w:r w:rsidR="006D490B">
        <w:t xml:space="preserve"> </w:t>
      </w:r>
      <w:r w:rsidRPr="00142A41">
        <w:t>y</w:t>
      </w:r>
      <w:r w:rsidR="006D490B">
        <w:t xml:space="preserve"> </w:t>
      </w:r>
      <w:r w:rsidRPr="00142A41">
        <w:rPr>
          <w:i/>
          <w:iCs/>
        </w:rPr>
        <w:t>no se recomienda</w:t>
      </w:r>
      <w:r w:rsidRPr="00142A41">
        <w:t>. La magnitud de la brecha de financiamiento climático requerirá apoyo más allá del sector bancario, de los gobiernos centrales (a través de políticas fiscales como la fijación de precios del carbono), así como de mercados de capital más profundos e instituciones financieras nacionales de desarrollo.</w:t>
      </w:r>
    </w:p>
    <w:p w14:paraId="10EC1802" w14:textId="1E4E4654" w:rsidR="00142A41" w:rsidRPr="00142A41" w:rsidRDefault="00142A41" w:rsidP="00142A41">
      <w:r w:rsidRPr="00142A41">
        <w:rPr>
          <w:noProof/>
        </w:rPr>
        <w:drawing>
          <wp:inline distT="0" distB="0" distL="0" distR="0" wp14:anchorId="3BECD9DC" wp14:editId="4D59F9DA">
            <wp:extent cx="5612130" cy="490093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4900930"/>
                    </a:xfrm>
                    <a:prstGeom prst="rect">
                      <a:avLst/>
                    </a:prstGeom>
                  </pic:spPr>
                </pic:pic>
              </a:graphicData>
            </a:graphic>
          </wp:inline>
        </w:drawing>
      </w:r>
    </w:p>
    <w:p w14:paraId="4C61CC6F" w14:textId="2E6FAAC7" w:rsidR="00142A41" w:rsidRPr="00142A41" w:rsidRDefault="00142A41" w:rsidP="00142A41">
      <w:pPr>
        <w:jc w:val="both"/>
      </w:pPr>
      <w:r w:rsidRPr="00142A41">
        <w:t>Este blog se basa en los temas tratados en el</w:t>
      </w:r>
      <w:r w:rsidR="00CE72C9">
        <w:t xml:space="preserve"> </w:t>
      </w:r>
      <w:hyperlink r:id="rId19" w:tgtFrame="_blank" w:history="1">
        <w:r w:rsidRPr="00142A41">
          <w:rPr>
            <w:rStyle w:val="Hipervnculo"/>
            <w:i/>
            <w:iCs/>
          </w:rPr>
          <w:t>Informe de Finanzas y Prosperidad 2024, recientemente publicado</w:t>
        </w:r>
      </w:hyperlink>
      <w:r w:rsidRPr="00142A41">
        <w:rPr>
          <w:i/>
          <w:iCs/>
        </w:rPr>
        <w:t>.</w:t>
      </w:r>
    </w:p>
    <w:p w14:paraId="5EEC91A5" w14:textId="77777777" w:rsidR="00142A41" w:rsidRPr="00142A41" w:rsidRDefault="006D490B" w:rsidP="00142A41">
      <w:r>
        <w:pict w14:anchorId="7152FD8D">
          <v:rect id="_x0000_i1030" style="width:630pt;height:.75pt" o:hrpct="0" o:hralign="center" o:hrstd="t" o:hr="t" fillcolor="#a0a0a0" stroked="f"/>
        </w:pict>
      </w:r>
    </w:p>
    <w:p w14:paraId="349C402F" w14:textId="77777777" w:rsidR="00142A41" w:rsidRPr="00142A41" w:rsidRDefault="006D490B" w:rsidP="00142A41">
      <w:pPr>
        <w:numPr>
          <w:ilvl w:val="0"/>
          <w:numId w:val="3"/>
        </w:numPr>
        <w:spacing w:after="0"/>
      </w:pPr>
      <w:hyperlink r:id="rId20" w:tgtFrame="_self" w:history="1">
        <w:r w:rsidR="00142A41" w:rsidRPr="00142A41">
          <w:rPr>
            <w:rStyle w:val="Hipervnculo"/>
            <w:b/>
            <w:bCs/>
          </w:rPr>
          <w:t>Deuda</w:t>
        </w:r>
      </w:hyperlink>
    </w:p>
    <w:p w14:paraId="69570B5C" w14:textId="77777777" w:rsidR="00142A41" w:rsidRPr="00142A41" w:rsidRDefault="006D490B" w:rsidP="00142A41">
      <w:pPr>
        <w:numPr>
          <w:ilvl w:val="0"/>
          <w:numId w:val="3"/>
        </w:numPr>
      </w:pPr>
      <w:hyperlink r:id="rId21" w:tgtFrame="_self" w:history="1">
        <w:r w:rsidR="00142A41" w:rsidRPr="00142A41">
          <w:rPr>
            <w:rStyle w:val="Hipervnculo"/>
            <w:b/>
            <w:bCs/>
          </w:rPr>
          <w:t>Sector Financiero</w:t>
        </w:r>
      </w:hyperlink>
    </w:p>
    <w:p w14:paraId="4B5BC2C8" w14:textId="3CB5B483" w:rsidR="00142A41" w:rsidRPr="00142A41" w:rsidRDefault="00142A41" w:rsidP="00142A41">
      <w:r w:rsidRPr="00142A41">
        <w:rPr>
          <w:noProof/>
        </w:rPr>
        <w:drawing>
          <wp:inline distT="0" distB="0" distL="0" distR="0" wp14:anchorId="21DACC40" wp14:editId="27D29B0B">
            <wp:extent cx="5612130" cy="317055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12130" cy="3170555"/>
                    </a:xfrm>
                    <a:prstGeom prst="rect">
                      <a:avLst/>
                    </a:prstGeom>
                  </pic:spPr>
                </pic:pic>
              </a:graphicData>
            </a:graphic>
          </wp:inline>
        </w:drawing>
      </w:r>
    </w:p>
    <w:p w14:paraId="5E9C1702" w14:textId="77777777" w:rsidR="00AB1250" w:rsidRDefault="00AB1250"/>
    <w:sectPr w:rsidR="00AB12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38B"/>
    <w:multiLevelType w:val="multilevel"/>
    <w:tmpl w:val="FE5A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E20D3"/>
    <w:multiLevelType w:val="multilevel"/>
    <w:tmpl w:val="CC0A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F5487"/>
    <w:multiLevelType w:val="multilevel"/>
    <w:tmpl w:val="FD7E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41"/>
    <w:rsid w:val="00142A41"/>
    <w:rsid w:val="00616EDD"/>
    <w:rsid w:val="006D490B"/>
    <w:rsid w:val="0098638D"/>
    <w:rsid w:val="00AB1250"/>
    <w:rsid w:val="00CE72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37D8DAD"/>
  <w15:chartTrackingRefBased/>
  <w15:docId w15:val="{9C7D99D6-A28F-4740-A04F-0A30792B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42A41"/>
    <w:rPr>
      <w:color w:val="0563C1" w:themeColor="hyperlink"/>
      <w:u w:val="single"/>
    </w:rPr>
  </w:style>
  <w:style w:type="character" w:styleId="Mencinsinresolver">
    <w:name w:val="Unresolved Mention"/>
    <w:basedOn w:val="Fuentedeprrafopredeter"/>
    <w:uiPriority w:val="99"/>
    <w:semiHidden/>
    <w:unhideWhenUsed/>
    <w:rsid w:val="00142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69214">
      <w:bodyDiv w:val="1"/>
      <w:marLeft w:val="0"/>
      <w:marRight w:val="0"/>
      <w:marTop w:val="0"/>
      <w:marBottom w:val="0"/>
      <w:divBdr>
        <w:top w:val="none" w:sz="0" w:space="0" w:color="auto"/>
        <w:left w:val="none" w:sz="0" w:space="0" w:color="auto"/>
        <w:bottom w:val="none" w:sz="0" w:space="0" w:color="auto"/>
        <w:right w:val="none" w:sz="0" w:space="0" w:color="auto"/>
      </w:divBdr>
      <w:divsChild>
        <w:div w:id="562375721">
          <w:marLeft w:val="0"/>
          <w:marRight w:val="0"/>
          <w:marTop w:val="0"/>
          <w:marBottom w:val="0"/>
          <w:divBdr>
            <w:top w:val="none" w:sz="0" w:space="0" w:color="auto"/>
            <w:left w:val="none" w:sz="0" w:space="0" w:color="auto"/>
            <w:bottom w:val="none" w:sz="0" w:space="0" w:color="auto"/>
            <w:right w:val="none" w:sz="0" w:space="0" w:color="auto"/>
          </w:divBdr>
          <w:divsChild>
            <w:div w:id="12846625">
              <w:marLeft w:val="0"/>
              <w:marRight w:val="0"/>
              <w:marTop w:val="0"/>
              <w:marBottom w:val="0"/>
              <w:divBdr>
                <w:top w:val="none" w:sz="0" w:space="0" w:color="auto"/>
                <w:left w:val="none" w:sz="0" w:space="0" w:color="auto"/>
                <w:bottom w:val="none" w:sz="0" w:space="0" w:color="auto"/>
                <w:right w:val="none" w:sz="0" w:space="0" w:color="auto"/>
              </w:divBdr>
              <w:divsChild>
                <w:div w:id="361899234">
                  <w:marLeft w:val="0"/>
                  <w:marRight w:val="0"/>
                  <w:marTop w:val="0"/>
                  <w:marBottom w:val="0"/>
                  <w:divBdr>
                    <w:top w:val="none" w:sz="0" w:space="0" w:color="auto"/>
                    <w:left w:val="none" w:sz="0" w:space="0" w:color="auto"/>
                    <w:bottom w:val="none" w:sz="0" w:space="0" w:color="auto"/>
                    <w:right w:val="none" w:sz="0" w:space="0" w:color="auto"/>
                  </w:divBdr>
                  <w:divsChild>
                    <w:div w:id="514730574">
                      <w:marLeft w:val="0"/>
                      <w:marRight w:val="0"/>
                      <w:marTop w:val="0"/>
                      <w:marBottom w:val="0"/>
                      <w:divBdr>
                        <w:top w:val="none" w:sz="0" w:space="0" w:color="auto"/>
                        <w:left w:val="none" w:sz="0" w:space="0" w:color="auto"/>
                        <w:bottom w:val="none" w:sz="0" w:space="0" w:color="auto"/>
                        <w:right w:val="none" w:sz="0" w:space="0" w:color="auto"/>
                      </w:divBdr>
                      <w:divsChild>
                        <w:div w:id="358050561">
                          <w:marLeft w:val="1425"/>
                          <w:marRight w:val="0"/>
                          <w:marTop w:val="0"/>
                          <w:marBottom w:val="0"/>
                          <w:divBdr>
                            <w:top w:val="none" w:sz="0" w:space="0" w:color="auto"/>
                            <w:left w:val="none" w:sz="0" w:space="0" w:color="auto"/>
                            <w:bottom w:val="none" w:sz="0" w:space="0" w:color="auto"/>
                            <w:right w:val="none" w:sz="0" w:space="0" w:color="auto"/>
                          </w:divBdr>
                          <w:divsChild>
                            <w:div w:id="229075552">
                              <w:marLeft w:val="0"/>
                              <w:marRight w:val="0"/>
                              <w:marTop w:val="0"/>
                              <w:marBottom w:val="0"/>
                              <w:divBdr>
                                <w:top w:val="none" w:sz="0" w:space="0" w:color="auto"/>
                                <w:left w:val="none" w:sz="0" w:space="0" w:color="auto"/>
                                <w:bottom w:val="none" w:sz="0" w:space="0" w:color="auto"/>
                                <w:right w:val="none" w:sz="0" w:space="0" w:color="auto"/>
                              </w:divBdr>
                              <w:divsChild>
                                <w:div w:id="62796620">
                                  <w:marLeft w:val="0"/>
                                  <w:marRight w:val="0"/>
                                  <w:marTop w:val="0"/>
                                  <w:marBottom w:val="0"/>
                                  <w:divBdr>
                                    <w:top w:val="none" w:sz="0" w:space="0" w:color="auto"/>
                                    <w:left w:val="none" w:sz="0" w:space="0" w:color="auto"/>
                                    <w:bottom w:val="none" w:sz="0" w:space="0" w:color="auto"/>
                                    <w:right w:val="none" w:sz="0" w:space="0" w:color="auto"/>
                                  </w:divBdr>
                                  <w:divsChild>
                                    <w:div w:id="1098604370">
                                      <w:marLeft w:val="0"/>
                                      <w:marRight w:val="0"/>
                                      <w:marTop w:val="0"/>
                                      <w:marBottom w:val="0"/>
                                      <w:divBdr>
                                        <w:top w:val="none" w:sz="0" w:space="0" w:color="auto"/>
                                        <w:left w:val="none" w:sz="0" w:space="0" w:color="auto"/>
                                        <w:bottom w:val="none" w:sz="0" w:space="0" w:color="auto"/>
                                        <w:right w:val="none" w:sz="0" w:space="0" w:color="auto"/>
                                      </w:divBdr>
                                      <w:divsChild>
                                        <w:div w:id="20767810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4689100">
                              <w:marLeft w:val="0"/>
                              <w:marRight w:val="0"/>
                              <w:marTop w:val="0"/>
                              <w:marBottom w:val="0"/>
                              <w:divBdr>
                                <w:top w:val="none" w:sz="0" w:space="0" w:color="auto"/>
                                <w:left w:val="none" w:sz="0" w:space="0" w:color="auto"/>
                                <w:bottom w:val="none" w:sz="0" w:space="0" w:color="auto"/>
                                <w:right w:val="none" w:sz="0" w:space="0" w:color="auto"/>
                              </w:divBdr>
                              <w:divsChild>
                                <w:div w:id="625814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251331">
          <w:marLeft w:val="0"/>
          <w:marRight w:val="0"/>
          <w:marTop w:val="0"/>
          <w:marBottom w:val="0"/>
          <w:divBdr>
            <w:top w:val="none" w:sz="0" w:space="0" w:color="auto"/>
            <w:left w:val="none" w:sz="0" w:space="0" w:color="auto"/>
            <w:bottom w:val="none" w:sz="0" w:space="0" w:color="auto"/>
            <w:right w:val="none" w:sz="0" w:space="0" w:color="auto"/>
          </w:divBdr>
          <w:divsChild>
            <w:div w:id="164321589">
              <w:marLeft w:val="0"/>
              <w:marRight w:val="0"/>
              <w:marTop w:val="0"/>
              <w:marBottom w:val="0"/>
              <w:divBdr>
                <w:top w:val="none" w:sz="0" w:space="0" w:color="auto"/>
                <w:left w:val="none" w:sz="0" w:space="0" w:color="auto"/>
                <w:bottom w:val="none" w:sz="0" w:space="0" w:color="auto"/>
                <w:right w:val="none" w:sz="0" w:space="0" w:color="auto"/>
              </w:divBdr>
              <w:divsChild>
                <w:div w:id="1015032762">
                  <w:marLeft w:val="0"/>
                  <w:marRight w:val="0"/>
                  <w:marTop w:val="0"/>
                  <w:marBottom w:val="0"/>
                  <w:divBdr>
                    <w:top w:val="none" w:sz="0" w:space="0" w:color="auto"/>
                    <w:left w:val="none" w:sz="0" w:space="0" w:color="auto"/>
                    <w:bottom w:val="none" w:sz="0" w:space="0" w:color="auto"/>
                    <w:right w:val="none" w:sz="0" w:space="0" w:color="auto"/>
                  </w:divBdr>
                  <w:divsChild>
                    <w:div w:id="68966738">
                      <w:marLeft w:val="0"/>
                      <w:marRight w:val="0"/>
                      <w:marTop w:val="0"/>
                      <w:marBottom w:val="0"/>
                      <w:divBdr>
                        <w:top w:val="none" w:sz="0" w:space="0" w:color="auto"/>
                        <w:left w:val="none" w:sz="0" w:space="0" w:color="auto"/>
                        <w:bottom w:val="none" w:sz="0" w:space="0" w:color="auto"/>
                        <w:right w:val="none" w:sz="0" w:space="0" w:color="auto"/>
                      </w:divBdr>
                      <w:divsChild>
                        <w:div w:id="926302886">
                          <w:marLeft w:val="0"/>
                          <w:marRight w:val="0"/>
                          <w:marTop w:val="0"/>
                          <w:marBottom w:val="0"/>
                          <w:divBdr>
                            <w:top w:val="none" w:sz="0" w:space="0" w:color="auto"/>
                            <w:left w:val="none" w:sz="0" w:space="0" w:color="auto"/>
                            <w:bottom w:val="none" w:sz="0" w:space="0" w:color="auto"/>
                            <w:right w:val="none" w:sz="0" w:space="0" w:color="auto"/>
                          </w:divBdr>
                          <w:divsChild>
                            <w:div w:id="993755070">
                              <w:marLeft w:val="0"/>
                              <w:marRight w:val="0"/>
                              <w:marTop w:val="0"/>
                              <w:marBottom w:val="0"/>
                              <w:divBdr>
                                <w:top w:val="none" w:sz="0" w:space="0" w:color="auto"/>
                                <w:left w:val="none" w:sz="0" w:space="0" w:color="auto"/>
                                <w:bottom w:val="none" w:sz="0" w:space="0" w:color="auto"/>
                                <w:right w:val="none" w:sz="0" w:space="0" w:color="auto"/>
                              </w:divBdr>
                              <w:divsChild>
                                <w:div w:id="1597865921">
                                  <w:marLeft w:val="0"/>
                                  <w:marRight w:val="0"/>
                                  <w:marTop w:val="0"/>
                                  <w:marBottom w:val="0"/>
                                  <w:divBdr>
                                    <w:top w:val="none" w:sz="0" w:space="0" w:color="auto"/>
                                    <w:left w:val="none" w:sz="0" w:space="0" w:color="auto"/>
                                    <w:bottom w:val="none" w:sz="0" w:space="0" w:color="auto"/>
                                    <w:right w:val="none" w:sz="0" w:space="0" w:color="auto"/>
                                  </w:divBdr>
                                  <w:divsChild>
                                    <w:div w:id="1061100295">
                                      <w:marLeft w:val="0"/>
                                      <w:marRight w:val="0"/>
                                      <w:marTop w:val="0"/>
                                      <w:marBottom w:val="0"/>
                                      <w:divBdr>
                                        <w:top w:val="none" w:sz="0" w:space="0" w:color="auto"/>
                                        <w:left w:val="none" w:sz="0" w:space="0" w:color="auto"/>
                                        <w:bottom w:val="none" w:sz="0" w:space="0" w:color="auto"/>
                                        <w:right w:val="none" w:sz="0" w:space="0" w:color="auto"/>
                                      </w:divBdr>
                                      <w:divsChild>
                                        <w:div w:id="747767253">
                                          <w:marLeft w:val="0"/>
                                          <w:marRight w:val="0"/>
                                          <w:marTop w:val="0"/>
                                          <w:marBottom w:val="0"/>
                                          <w:divBdr>
                                            <w:top w:val="none" w:sz="0" w:space="0" w:color="auto"/>
                                            <w:left w:val="none" w:sz="0" w:space="0" w:color="auto"/>
                                            <w:bottom w:val="none" w:sz="0" w:space="0" w:color="auto"/>
                                            <w:right w:val="none" w:sz="0" w:space="0" w:color="auto"/>
                                          </w:divBdr>
                                          <w:divsChild>
                                            <w:div w:id="544293251">
                                              <w:marLeft w:val="0"/>
                                              <w:marRight w:val="0"/>
                                              <w:marTop w:val="0"/>
                                              <w:marBottom w:val="375"/>
                                              <w:divBdr>
                                                <w:top w:val="none" w:sz="0" w:space="0" w:color="auto"/>
                                                <w:left w:val="none" w:sz="0" w:space="0" w:color="auto"/>
                                                <w:bottom w:val="none" w:sz="0" w:space="0" w:color="auto"/>
                                                <w:right w:val="none" w:sz="0" w:space="0" w:color="auto"/>
                                              </w:divBdr>
                                              <w:divsChild>
                                                <w:div w:id="851146574">
                                                  <w:marLeft w:val="0"/>
                                                  <w:marRight w:val="0"/>
                                                  <w:marTop w:val="0"/>
                                                  <w:marBottom w:val="0"/>
                                                  <w:divBdr>
                                                    <w:top w:val="none" w:sz="0" w:space="0" w:color="auto"/>
                                                    <w:left w:val="none" w:sz="0" w:space="0" w:color="auto"/>
                                                    <w:bottom w:val="none" w:sz="0" w:space="0" w:color="auto"/>
                                                    <w:right w:val="none" w:sz="0" w:space="0" w:color="auto"/>
                                                  </w:divBdr>
                                                </w:div>
                                              </w:divsChild>
                                            </w:div>
                                            <w:div w:id="607196461">
                                              <w:marLeft w:val="0"/>
                                              <w:marRight w:val="0"/>
                                              <w:marTop w:val="0"/>
                                              <w:marBottom w:val="375"/>
                                              <w:divBdr>
                                                <w:top w:val="none" w:sz="0" w:space="0" w:color="auto"/>
                                                <w:left w:val="none" w:sz="0" w:space="0" w:color="auto"/>
                                                <w:bottom w:val="none" w:sz="0" w:space="0" w:color="auto"/>
                                                <w:right w:val="none" w:sz="0" w:space="0" w:color="auto"/>
                                              </w:divBdr>
                                              <w:divsChild>
                                                <w:div w:id="1412848580">
                                                  <w:marLeft w:val="0"/>
                                                  <w:marRight w:val="0"/>
                                                  <w:marTop w:val="0"/>
                                                  <w:marBottom w:val="0"/>
                                                  <w:divBdr>
                                                    <w:top w:val="none" w:sz="0" w:space="0" w:color="auto"/>
                                                    <w:left w:val="none" w:sz="0" w:space="0" w:color="auto"/>
                                                    <w:bottom w:val="none" w:sz="0" w:space="0" w:color="auto"/>
                                                    <w:right w:val="none" w:sz="0" w:space="0" w:color="auto"/>
                                                  </w:divBdr>
                                                </w:div>
                                              </w:divsChild>
                                            </w:div>
                                            <w:div w:id="1924099237">
                                              <w:marLeft w:val="0"/>
                                              <w:marRight w:val="0"/>
                                              <w:marTop w:val="0"/>
                                              <w:marBottom w:val="0"/>
                                              <w:divBdr>
                                                <w:top w:val="none" w:sz="0" w:space="0" w:color="auto"/>
                                                <w:left w:val="none" w:sz="0" w:space="0" w:color="auto"/>
                                                <w:bottom w:val="none" w:sz="0" w:space="0" w:color="auto"/>
                                                <w:right w:val="none" w:sz="0" w:space="0" w:color="auto"/>
                                              </w:divBdr>
                                              <w:divsChild>
                                                <w:div w:id="1976057533">
                                                  <w:marLeft w:val="0"/>
                                                  <w:marRight w:val="0"/>
                                                  <w:marTop w:val="0"/>
                                                  <w:marBottom w:val="0"/>
                                                  <w:divBdr>
                                                    <w:top w:val="none" w:sz="0" w:space="0" w:color="auto"/>
                                                    <w:left w:val="none" w:sz="0" w:space="0" w:color="auto"/>
                                                    <w:bottom w:val="none" w:sz="0" w:space="0" w:color="auto"/>
                                                    <w:right w:val="none" w:sz="0" w:space="0" w:color="auto"/>
                                                  </w:divBdr>
                                                </w:div>
                                              </w:divsChild>
                                            </w:div>
                                            <w:div w:id="1867055887">
                                              <w:marLeft w:val="0"/>
                                              <w:marRight w:val="0"/>
                                              <w:marTop w:val="0"/>
                                              <w:marBottom w:val="0"/>
                                              <w:divBdr>
                                                <w:top w:val="none" w:sz="0" w:space="0" w:color="auto"/>
                                                <w:left w:val="none" w:sz="0" w:space="0" w:color="auto"/>
                                                <w:bottom w:val="none" w:sz="0" w:space="0" w:color="auto"/>
                                                <w:right w:val="none" w:sz="0" w:space="0" w:color="auto"/>
                                              </w:divBdr>
                                              <w:divsChild>
                                                <w:div w:id="432554322">
                                                  <w:marLeft w:val="0"/>
                                                  <w:marRight w:val="0"/>
                                                  <w:marTop w:val="0"/>
                                                  <w:marBottom w:val="0"/>
                                                  <w:divBdr>
                                                    <w:top w:val="none" w:sz="0" w:space="0" w:color="auto"/>
                                                    <w:left w:val="none" w:sz="0" w:space="0" w:color="auto"/>
                                                    <w:bottom w:val="none" w:sz="0" w:space="0" w:color="auto"/>
                                                    <w:right w:val="none" w:sz="0" w:space="0" w:color="auto"/>
                                                  </w:divBdr>
                                                </w:div>
                                              </w:divsChild>
                                            </w:div>
                                            <w:div w:id="1574780223">
                                              <w:marLeft w:val="0"/>
                                              <w:marRight w:val="0"/>
                                              <w:marTop w:val="0"/>
                                              <w:marBottom w:val="375"/>
                                              <w:divBdr>
                                                <w:top w:val="none" w:sz="0" w:space="0" w:color="auto"/>
                                                <w:left w:val="none" w:sz="0" w:space="0" w:color="auto"/>
                                                <w:bottom w:val="none" w:sz="0" w:space="0" w:color="auto"/>
                                                <w:right w:val="none" w:sz="0" w:space="0" w:color="auto"/>
                                              </w:divBdr>
                                              <w:divsChild>
                                                <w:div w:id="1308246547">
                                                  <w:marLeft w:val="0"/>
                                                  <w:marRight w:val="0"/>
                                                  <w:marTop w:val="0"/>
                                                  <w:marBottom w:val="0"/>
                                                  <w:divBdr>
                                                    <w:top w:val="none" w:sz="0" w:space="0" w:color="auto"/>
                                                    <w:left w:val="none" w:sz="0" w:space="0" w:color="auto"/>
                                                    <w:bottom w:val="none" w:sz="0" w:space="0" w:color="auto"/>
                                                    <w:right w:val="none" w:sz="0" w:space="0" w:color="auto"/>
                                                  </w:divBdr>
                                                </w:div>
                                              </w:divsChild>
                                            </w:div>
                                            <w:div w:id="1872573816">
                                              <w:marLeft w:val="0"/>
                                              <w:marRight w:val="0"/>
                                              <w:marTop w:val="0"/>
                                              <w:marBottom w:val="0"/>
                                              <w:divBdr>
                                                <w:top w:val="none" w:sz="0" w:space="0" w:color="auto"/>
                                                <w:left w:val="none" w:sz="0" w:space="0" w:color="auto"/>
                                                <w:bottom w:val="none" w:sz="0" w:space="0" w:color="auto"/>
                                                <w:right w:val="none" w:sz="0" w:space="0" w:color="auto"/>
                                              </w:divBdr>
                                              <w:divsChild>
                                                <w:div w:id="863785389">
                                                  <w:marLeft w:val="0"/>
                                                  <w:marRight w:val="0"/>
                                                  <w:marTop w:val="0"/>
                                                  <w:marBottom w:val="0"/>
                                                  <w:divBdr>
                                                    <w:top w:val="none" w:sz="0" w:space="0" w:color="auto"/>
                                                    <w:left w:val="none" w:sz="0" w:space="0" w:color="auto"/>
                                                    <w:bottom w:val="none" w:sz="0" w:space="0" w:color="auto"/>
                                                    <w:right w:val="none" w:sz="0" w:space="0" w:color="auto"/>
                                                  </w:divBdr>
                                                </w:div>
                                              </w:divsChild>
                                            </w:div>
                                            <w:div w:id="836461045">
                                              <w:marLeft w:val="0"/>
                                              <w:marRight w:val="0"/>
                                              <w:marTop w:val="0"/>
                                              <w:marBottom w:val="0"/>
                                              <w:divBdr>
                                                <w:top w:val="none" w:sz="0" w:space="0" w:color="auto"/>
                                                <w:left w:val="none" w:sz="0" w:space="0" w:color="auto"/>
                                                <w:bottom w:val="none" w:sz="0" w:space="0" w:color="auto"/>
                                                <w:right w:val="none" w:sz="0" w:space="0" w:color="auto"/>
                                              </w:divBdr>
                                              <w:divsChild>
                                                <w:div w:id="1543051704">
                                                  <w:marLeft w:val="0"/>
                                                  <w:marRight w:val="0"/>
                                                  <w:marTop w:val="0"/>
                                                  <w:marBottom w:val="0"/>
                                                  <w:divBdr>
                                                    <w:top w:val="none" w:sz="0" w:space="0" w:color="auto"/>
                                                    <w:left w:val="none" w:sz="0" w:space="0" w:color="auto"/>
                                                    <w:bottom w:val="none" w:sz="0" w:space="0" w:color="auto"/>
                                                    <w:right w:val="none" w:sz="0" w:space="0" w:color="auto"/>
                                                  </w:divBdr>
                                                </w:div>
                                              </w:divsChild>
                                            </w:div>
                                            <w:div w:id="1043401811">
                                              <w:marLeft w:val="0"/>
                                              <w:marRight w:val="0"/>
                                              <w:marTop w:val="0"/>
                                              <w:marBottom w:val="375"/>
                                              <w:divBdr>
                                                <w:top w:val="none" w:sz="0" w:space="0" w:color="auto"/>
                                                <w:left w:val="none" w:sz="0" w:space="0" w:color="auto"/>
                                                <w:bottom w:val="none" w:sz="0" w:space="0" w:color="auto"/>
                                                <w:right w:val="none" w:sz="0" w:space="0" w:color="auto"/>
                                              </w:divBdr>
                                              <w:divsChild>
                                                <w:div w:id="309945566">
                                                  <w:marLeft w:val="0"/>
                                                  <w:marRight w:val="0"/>
                                                  <w:marTop w:val="0"/>
                                                  <w:marBottom w:val="0"/>
                                                  <w:divBdr>
                                                    <w:top w:val="none" w:sz="0" w:space="0" w:color="auto"/>
                                                    <w:left w:val="none" w:sz="0" w:space="0" w:color="auto"/>
                                                    <w:bottom w:val="none" w:sz="0" w:space="0" w:color="auto"/>
                                                    <w:right w:val="none" w:sz="0" w:space="0" w:color="auto"/>
                                                  </w:divBdr>
                                                </w:div>
                                              </w:divsChild>
                                            </w:div>
                                            <w:div w:id="1791777402">
                                              <w:marLeft w:val="0"/>
                                              <w:marRight w:val="0"/>
                                              <w:marTop w:val="0"/>
                                              <w:marBottom w:val="0"/>
                                              <w:divBdr>
                                                <w:top w:val="none" w:sz="0" w:space="0" w:color="auto"/>
                                                <w:left w:val="none" w:sz="0" w:space="0" w:color="auto"/>
                                                <w:bottom w:val="none" w:sz="0" w:space="0" w:color="auto"/>
                                                <w:right w:val="none" w:sz="0" w:space="0" w:color="auto"/>
                                              </w:divBdr>
                                              <w:divsChild>
                                                <w:div w:id="1546916117">
                                                  <w:marLeft w:val="0"/>
                                                  <w:marRight w:val="0"/>
                                                  <w:marTop w:val="0"/>
                                                  <w:marBottom w:val="0"/>
                                                  <w:divBdr>
                                                    <w:top w:val="none" w:sz="0" w:space="0" w:color="auto"/>
                                                    <w:left w:val="none" w:sz="0" w:space="0" w:color="auto"/>
                                                    <w:bottom w:val="none" w:sz="0" w:space="0" w:color="auto"/>
                                                    <w:right w:val="none" w:sz="0" w:space="0" w:color="auto"/>
                                                  </w:divBdr>
                                                </w:div>
                                              </w:divsChild>
                                            </w:div>
                                            <w:div w:id="394478243">
                                              <w:marLeft w:val="0"/>
                                              <w:marRight w:val="0"/>
                                              <w:marTop w:val="0"/>
                                              <w:marBottom w:val="0"/>
                                              <w:divBdr>
                                                <w:top w:val="none" w:sz="0" w:space="0" w:color="auto"/>
                                                <w:left w:val="none" w:sz="0" w:space="0" w:color="auto"/>
                                                <w:bottom w:val="none" w:sz="0" w:space="0" w:color="auto"/>
                                                <w:right w:val="none" w:sz="0" w:space="0" w:color="auto"/>
                                              </w:divBdr>
                                              <w:divsChild>
                                                <w:div w:id="325473607">
                                                  <w:marLeft w:val="0"/>
                                                  <w:marRight w:val="0"/>
                                                  <w:marTop w:val="0"/>
                                                  <w:marBottom w:val="0"/>
                                                  <w:divBdr>
                                                    <w:top w:val="none" w:sz="0" w:space="0" w:color="auto"/>
                                                    <w:left w:val="none" w:sz="0" w:space="0" w:color="auto"/>
                                                    <w:bottom w:val="none" w:sz="0" w:space="0" w:color="auto"/>
                                                    <w:right w:val="none" w:sz="0" w:space="0" w:color="auto"/>
                                                  </w:divBdr>
                                                </w:div>
                                              </w:divsChild>
                                            </w:div>
                                            <w:div w:id="939990998">
                                              <w:marLeft w:val="0"/>
                                              <w:marRight w:val="0"/>
                                              <w:marTop w:val="0"/>
                                              <w:marBottom w:val="375"/>
                                              <w:divBdr>
                                                <w:top w:val="none" w:sz="0" w:space="0" w:color="auto"/>
                                                <w:left w:val="none" w:sz="0" w:space="0" w:color="auto"/>
                                                <w:bottom w:val="none" w:sz="0" w:space="0" w:color="auto"/>
                                                <w:right w:val="none" w:sz="0" w:space="0" w:color="auto"/>
                                              </w:divBdr>
                                              <w:divsChild>
                                                <w:div w:id="22833091">
                                                  <w:marLeft w:val="0"/>
                                                  <w:marRight w:val="0"/>
                                                  <w:marTop w:val="0"/>
                                                  <w:marBottom w:val="0"/>
                                                  <w:divBdr>
                                                    <w:top w:val="none" w:sz="0" w:space="0" w:color="auto"/>
                                                    <w:left w:val="none" w:sz="0" w:space="0" w:color="auto"/>
                                                    <w:bottom w:val="none" w:sz="0" w:space="0" w:color="auto"/>
                                                    <w:right w:val="none" w:sz="0" w:space="0" w:color="auto"/>
                                                  </w:divBdr>
                                                </w:div>
                                              </w:divsChild>
                                            </w:div>
                                            <w:div w:id="779570804">
                                              <w:marLeft w:val="0"/>
                                              <w:marRight w:val="0"/>
                                              <w:marTop w:val="0"/>
                                              <w:marBottom w:val="0"/>
                                              <w:divBdr>
                                                <w:top w:val="none" w:sz="0" w:space="0" w:color="auto"/>
                                                <w:left w:val="none" w:sz="0" w:space="0" w:color="auto"/>
                                                <w:bottom w:val="none" w:sz="0" w:space="0" w:color="auto"/>
                                                <w:right w:val="none" w:sz="0" w:space="0" w:color="auto"/>
                                              </w:divBdr>
                                              <w:divsChild>
                                                <w:div w:id="1895382972">
                                                  <w:marLeft w:val="0"/>
                                                  <w:marRight w:val="0"/>
                                                  <w:marTop w:val="0"/>
                                                  <w:marBottom w:val="0"/>
                                                  <w:divBdr>
                                                    <w:top w:val="none" w:sz="0" w:space="0" w:color="auto"/>
                                                    <w:left w:val="none" w:sz="0" w:space="0" w:color="auto"/>
                                                    <w:bottom w:val="none" w:sz="0" w:space="0" w:color="auto"/>
                                                    <w:right w:val="none" w:sz="0" w:space="0" w:color="auto"/>
                                                  </w:divBdr>
                                                </w:div>
                                              </w:divsChild>
                                            </w:div>
                                            <w:div w:id="1082028492">
                                              <w:marLeft w:val="0"/>
                                              <w:marRight w:val="0"/>
                                              <w:marTop w:val="0"/>
                                              <w:marBottom w:val="0"/>
                                              <w:divBdr>
                                                <w:top w:val="none" w:sz="0" w:space="0" w:color="auto"/>
                                                <w:left w:val="none" w:sz="0" w:space="0" w:color="auto"/>
                                                <w:bottom w:val="none" w:sz="0" w:space="0" w:color="auto"/>
                                                <w:right w:val="none" w:sz="0" w:space="0" w:color="auto"/>
                                              </w:divBdr>
                                              <w:divsChild>
                                                <w:div w:id="1785921874">
                                                  <w:marLeft w:val="0"/>
                                                  <w:marRight w:val="0"/>
                                                  <w:marTop w:val="0"/>
                                                  <w:marBottom w:val="0"/>
                                                  <w:divBdr>
                                                    <w:top w:val="none" w:sz="0" w:space="0" w:color="auto"/>
                                                    <w:left w:val="none" w:sz="0" w:space="0" w:color="auto"/>
                                                    <w:bottom w:val="none" w:sz="0" w:space="0" w:color="auto"/>
                                                    <w:right w:val="none" w:sz="0" w:space="0" w:color="auto"/>
                                                  </w:divBdr>
                                                </w:div>
                                              </w:divsChild>
                                            </w:div>
                                            <w:div w:id="317462807">
                                              <w:marLeft w:val="0"/>
                                              <w:marRight w:val="0"/>
                                              <w:marTop w:val="0"/>
                                              <w:marBottom w:val="375"/>
                                              <w:divBdr>
                                                <w:top w:val="none" w:sz="0" w:space="0" w:color="auto"/>
                                                <w:left w:val="none" w:sz="0" w:space="0" w:color="auto"/>
                                                <w:bottom w:val="none" w:sz="0" w:space="0" w:color="auto"/>
                                                <w:right w:val="none" w:sz="0" w:space="0" w:color="auto"/>
                                              </w:divBdr>
                                              <w:divsChild>
                                                <w:div w:id="1103113356">
                                                  <w:marLeft w:val="0"/>
                                                  <w:marRight w:val="0"/>
                                                  <w:marTop w:val="0"/>
                                                  <w:marBottom w:val="0"/>
                                                  <w:divBdr>
                                                    <w:top w:val="none" w:sz="0" w:space="0" w:color="auto"/>
                                                    <w:left w:val="none" w:sz="0" w:space="0" w:color="auto"/>
                                                    <w:bottom w:val="none" w:sz="0" w:space="0" w:color="auto"/>
                                                    <w:right w:val="none" w:sz="0" w:space="0" w:color="auto"/>
                                                  </w:divBdr>
                                                </w:div>
                                              </w:divsChild>
                                            </w:div>
                                            <w:div w:id="1904877167">
                                              <w:marLeft w:val="0"/>
                                              <w:marRight w:val="0"/>
                                              <w:marTop w:val="0"/>
                                              <w:marBottom w:val="0"/>
                                              <w:divBdr>
                                                <w:top w:val="none" w:sz="0" w:space="0" w:color="auto"/>
                                                <w:left w:val="none" w:sz="0" w:space="0" w:color="auto"/>
                                                <w:bottom w:val="none" w:sz="0" w:space="0" w:color="auto"/>
                                                <w:right w:val="none" w:sz="0" w:space="0" w:color="auto"/>
                                              </w:divBdr>
                                              <w:divsChild>
                                                <w:div w:id="63452800">
                                                  <w:marLeft w:val="0"/>
                                                  <w:marRight w:val="0"/>
                                                  <w:marTop w:val="0"/>
                                                  <w:marBottom w:val="0"/>
                                                  <w:divBdr>
                                                    <w:top w:val="none" w:sz="0" w:space="0" w:color="auto"/>
                                                    <w:left w:val="none" w:sz="0" w:space="0" w:color="auto"/>
                                                    <w:bottom w:val="none" w:sz="0" w:space="0" w:color="auto"/>
                                                    <w:right w:val="none" w:sz="0" w:space="0" w:color="auto"/>
                                                  </w:divBdr>
                                                </w:div>
                                              </w:divsChild>
                                            </w:div>
                                            <w:div w:id="125438554">
                                              <w:marLeft w:val="0"/>
                                              <w:marRight w:val="0"/>
                                              <w:marTop w:val="0"/>
                                              <w:marBottom w:val="375"/>
                                              <w:divBdr>
                                                <w:top w:val="none" w:sz="0" w:space="0" w:color="auto"/>
                                                <w:left w:val="none" w:sz="0" w:space="0" w:color="auto"/>
                                                <w:bottom w:val="none" w:sz="0" w:space="0" w:color="auto"/>
                                                <w:right w:val="none" w:sz="0" w:space="0" w:color="auto"/>
                                              </w:divBdr>
                                              <w:divsChild>
                                                <w:div w:id="668944910">
                                                  <w:marLeft w:val="0"/>
                                                  <w:marRight w:val="0"/>
                                                  <w:marTop w:val="0"/>
                                                  <w:marBottom w:val="0"/>
                                                  <w:divBdr>
                                                    <w:top w:val="none" w:sz="0" w:space="0" w:color="auto"/>
                                                    <w:left w:val="none" w:sz="0" w:space="0" w:color="auto"/>
                                                    <w:bottom w:val="none" w:sz="0" w:space="0" w:color="auto"/>
                                                    <w:right w:val="none" w:sz="0" w:space="0" w:color="auto"/>
                                                  </w:divBdr>
                                                </w:div>
                                              </w:divsChild>
                                            </w:div>
                                            <w:div w:id="1391878561">
                                              <w:marLeft w:val="0"/>
                                              <w:marRight w:val="0"/>
                                              <w:marTop w:val="0"/>
                                              <w:marBottom w:val="375"/>
                                              <w:divBdr>
                                                <w:top w:val="none" w:sz="0" w:space="0" w:color="auto"/>
                                                <w:left w:val="none" w:sz="0" w:space="0" w:color="auto"/>
                                                <w:bottom w:val="none" w:sz="0" w:space="0" w:color="auto"/>
                                                <w:right w:val="none" w:sz="0" w:space="0" w:color="auto"/>
                                              </w:divBdr>
                                              <w:divsChild>
                                                <w:div w:id="656307641">
                                                  <w:marLeft w:val="0"/>
                                                  <w:marRight w:val="0"/>
                                                  <w:marTop w:val="0"/>
                                                  <w:marBottom w:val="0"/>
                                                  <w:divBdr>
                                                    <w:top w:val="none" w:sz="0" w:space="0" w:color="auto"/>
                                                    <w:left w:val="none" w:sz="0" w:space="0" w:color="auto"/>
                                                    <w:bottom w:val="none" w:sz="0" w:space="0" w:color="auto"/>
                                                    <w:right w:val="none" w:sz="0" w:space="0" w:color="auto"/>
                                                  </w:divBdr>
                                                </w:div>
                                              </w:divsChild>
                                            </w:div>
                                            <w:div w:id="859469445">
                                              <w:marLeft w:val="0"/>
                                              <w:marRight w:val="0"/>
                                              <w:marTop w:val="0"/>
                                              <w:marBottom w:val="0"/>
                                              <w:divBdr>
                                                <w:top w:val="none" w:sz="0" w:space="0" w:color="auto"/>
                                                <w:left w:val="none" w:sz="0" w:space="0" w:color="auto"/>
                                                <w:bottom w:val="none" w:sz="0" w:space="0" w:color="auto"/>
                                                <w:right w:val="none" w:sz="0" w:space="0" w:color="auto"/>
                                              </w:divBdr>
                                              <w:divsChild>
                                                <w:div w:id="2082867385">
                                                  <w:marLeft w:val="0"/>
                                                  <w:marRight w:val="0"/>
                                                  <w:marTop w:val="0"/>
                                                  <w:marBottom w:val="0"/>
                                                  <w:divBdr>
                                                    <w:top w:val="none" w:sz="0" w:space="0" w:color="auto"/>
                                                    <w:left w:val="none" w:sz="0" w:space="0" w:color="auto"/>
                                                    <w:bottom w:val="none" w:sz="0" w:space="0" w:color="auto"/>
                                                    <w:right w:val="none" w:sz="0" w:space="0" w:color="auto"/>
                                                  </w:divBdr>
                                                </w:div>
                                              </w:divsChild>
                                            </w:div>
                                            <w:div w:id="1703943333">
                                              <w:marLeft w:val="0"/>
                                              <w:marRight w:val="0"/>
                                              <w:marTop w:val="0"/>
                                              <w:marBottom w:val="375"/>
                                              <w:divBdr>
                                                <w:top w:val="none" w:sz="0" w:space="0" w:color="auto"/>
                                                <w:left w:val="none" w:sz="0" w:space="0" w:color="auto"/>
                                                <w:bottom w:val="none" w:sz="0" w:space="0" w:color="auto"/>
                                                <w:right w:val="none" w:sz="0" w:space="0" w:color="auto"/>
                                              </w:divBdr>
                                              <w:divsChild>
                                                <w:div w:id="1908805489">
                                                  <w:marLeft w:val="0"/>
                                                  <w:marRight w:val="0"/>
                                                  <w:marTop w:val="0"/>
                                                  <w:marBottom w:val="0"/>
                                                  <w:divBdr>
                                                    <w:top w:val="none" w:sz="0" w:space="0" w:color="auto"/>
                                                    <w:left w:val="none" w:sz="0" w:space="0" w:color="auto"/>
                                                    <w:bottom w:val="none" w:sz="0" w:space="0" w:color="auto"/>
                                                    <w:right w:val="none" w:sz="0" w:space="0" w:color="auto"/>
                                                  </w:divBdr>
                                                </w:div>
                                              </w:divsChild>
                                            </w:div>
                                            <w:div w:id="907886152">
                                              <w:marLeft w:val="0"/>
                                              <w:marRight w:val="0"/>
                                              <w:marTop w:val="0"/>
                                              <w:marBottom w:val="0"/>
                                              <w:divBdr>
                                                <w:top w:val="none" w:sz="0" w:space="0" w:color="auto"/>
                                                <w:left w:val="none" w:sz="0" w:space="0" w:color="auto"/>
                                                <w:bottom w:val="none" w:sz="0" w:space="0" w:color="auto"/>
                                                <w:right w:val="none" w:sz="0" w:space="0" w:color="auto"/>
                                              </w:divBdr>
                                              <w:divsChild>
                                                <w:div w:id="1680503524">
                                                  <w:marLeft w:val="0"/>
                                                  <w:marRight w:val="0"/>
                                                  <w:marTop w:val="0"/>
                                                  <w:marBottom w:val="0"/>
                                                  <w:divBdr>
                                                    <w:top w:val="none" w:sz="0" w:space="0" w:color="auto"/>
                                                    <w:left w:val="none" w:sz="0" w:space="0" w:color="auto"/>
                                                    <w:bottom w:val="none" w:sz="0" w:space="0" w:color="auto"/>
                                                    <w:right w:val="none" w:sz="0" w:space="0" w:color="auto"/>
                                                  </w:divBdr>
                                                </w:div>
                                              </w:divsChild>
                                            </w:div>
                                            <w:div w:id="799497267">
                                              <w:marLeft w:val="0"/>
                                              <w:marRight w:val="0"/>
                                              <w:marTop w:val="0"/>
                                              <w:marBottom w:val="375"/>
                                              <w:divBdr>
                                                <w:top w:val="none" w:sz="0" w:space="0" w:color="auto"/>
                                                <w:left w:val="none" w:sz="0" w:space="0" w:color="auto"/>
                                                <w:bottom w:val="none" w:sz="0" w:space="0" w:color="auto"/>
                                                <w:right w:val="none" w:sz="0" w:space="0" w:color="auto"/>
                                              </w:divBdr>
                                              <w:divsChild>
                                                <w:div w:id="1743064536">
                                                  <w:marLeft w:val="0"/>
                                                  <w:marRight w:val="0"/>
                                                  <w:marTop w:val="0"/>
                                                  <w:marBottom w:val="0"/>
                                                  <w:divBdr>
                                                    <w:top w:val="none" w:sz="0" w:space="0" w:color="auto"/>
                                                    <w:left w:val="none" w:sz="0" w:space="0" w:color="auto"/>
                                                    <w:bottom w:val="none" w:sz="0" w:space="0" w:color="auto"/>
                                                    <w:right w:val="none" w:sz="0" w:space="0" w:color="auto"/>
                                                  </w:divBdr>
                                                </w:div>
                                              </w:divsChild>
                                            </w:div>
                                            <w:div w:id="1902595550">
                                              <w:marLeft w:val="0"/>
                                              <w:marRight w:val="0"/>
                                              <w:marTop w:val="375"/>
                                              <w:marBottom w:val="375"/>
                                              <w:divBdr>
                                                <w:top w:val="none" w:sz="0" w:space="0" w:color="auto"/>
                                                <w:left w:val="none" w:sz="0" w:space="0" w:color="auto"/>
                                                <w:bottom w:val="none" w:sz="0" w:space="0" w:color="auto"/>
                                                <w:right w:val="none" w:sz="0" w:space="0" w:color="auto"/>
                                              </w:divBdr>
                                              <w:divsChild>
                                                <w:div w:id="1112166559">
                                                  <w:marLeft w:val="0"/>
                                                  <w:marRight w:val="0"/>
                                                  <w:marTop w:val="0"/>
                                                  <w:marBottom w:val="0"/>
                                                  <w:divBdr>
                                                    <w:top w:val="none" w:sz="0" w:space="0" w:color="auto"/>
                                                    <w:left w:val="none" w:sz="0" w:space="0" w:color="auto"/>
                                                    <w:bottom w:val="none" w:sz="0" w:space="0" w:color="auto"/>
                                                    <w:right w:val="none" w:sz="0" w:space="0" w:color="auto"/>
                                                  </w:divBdr>
                                                </w:div>
                                              </w:divsChild>
                                            </w:div>
                                            <w:div w:id="686715423">
                                              <w:marLeft w:val="0"/>
                                              <w:marRight w:val="0"/>
                                              <w:marTop w:val="0"/>
                                              <w:marBottom w:val="375"/>
                                              <w:divBdr>
                                                <w:top w:val="none" w:sz="0" w:space="0" w:color="auto"/>
                                                <w:left w:val="none" w:sz="0" w:space="0" w:color="auto"/>
                                                <w:bottom w:val="none" w:sz="0" w:space="0" w:color="auto"/>
                                                <w:right w:val="none" w:sz="0" w:space="0" w:color="auto"/>
                                              </w:divBdr>
                                              <w:divsChild>
                                                <w:div w:id="743258140">
                                                  <w:marLeft w:val="0"/>
                                                  <w:marRight w:val="0"/>
                                                  <w:marTop w:val="0"/>
                                                  <w:marBottom w:val="0"/>
                                                  <w:divBdr>
                                                    <w:top w:val="none" w:sz="0" w:space="0" w:color="auto"/>
                                                    <w:left w:val="none" w:sz="0" w:space="0" w:color="auto"/>
                                                    <w:bottom w:val="none" w:sz="0" w:space="0" w:color="auto"/>
                                                    <w:right w:val="none" w:sz="0" w:space="0" w:color="auto"/>
                                                  </w:divBdr>
                                                  <w:divsChild>
                                                    <w:div w:id="340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3078224">
          <w:marLeft w:val="0"/>
          <w:marRight w:val="0"/>
          <w:marTop w:val="0"/>
          <w:marBottom w:val="0"/>
          <w:divBdr>
            <w:top w:val="none" w:sz="0" w:space="0" w:color="auto"/>
            <w:left w:val="none" w:sz="0" w:space="0" w:color="auto"/>
            <w:bottom w:val="none" w:sz="0" w:space="0" w:color="auto"/>
            <w:right w:val="none" w:sz="0" w:space="0" w:color="auto"/>
          </w:divBdr>
          <w:divsChild>
            <w:div w:id="1566720757">
              <w:marLeft w:val="0"/>
              <w:marRight w:val="0"/>
              <w:marTop w:val="0"/>
              <w:marBottom w:val="0"/>
              <w:divBdr>
                <w:top w:val="none" w:sz="0" w:space="0" w:color="auto"/>
                <w:left w:val="none" w:sz="0" w:space="0" w:color="auto"/>
                <w:bottom w:val="none" w:sz="0" w:space="0" w:color="auto"/>
                <w:right w:val="none" w:sz="0" w:space="0" w:color="auto"/>
              </w:divBdr>
              <w:divsChild>
                <w:div w:id="634145736">
                  <w:marLeft w:val="0"/>
                  <w:marRight w:val="0"/>
                  <w:marTop w:val="0"/>
                  <w:marBottom w:val="0"/>
                  <w:divBdr>
                    <w:top w:val="none" w:sz="0" w:space="0" w:color="auto"/>
                    <w:left w:val="none" w:sz="0" w:space="0" w:color="auto"/>
                    <w:bottom w:val="none" w:sz="0" w:space="0" w:color="auto"/>
                    <w:right w:val="none" w:sz="0" w:space="0" w:color="auto"/>
                  </w:divBdr>
                  <w:divsChild>
                    <w:div w:id="1710766208">
                      <w:marLeft w:val="-225"/>
                      <w:marRight w:val="-225"/>
                      <w:marTop w:val="0"/>
                      <w:marBottom w:val="0"/>
                      <w:divBdr>
                        <w:top w:val="none" w:sz="0" w:space="0" w:color="auto"/>
                        <w:left w:val="none" w:sz="0" w:space="0" w:color="auto"/>
                        <w:bottom w:val="none" w:sz="0" w:space="0" w:color="auto"/>
                        <w:right w:val="none" w:sz="0" w:space="0" w:color="auto"/>
                      </w:divBdr>
                      <w:divsChild>
                        <w:div w:id="1604612977">
                          <w:marLeft w:val="0"/>
                          <w:marRight w:val="0"/>
                          <w:marTop w:val="0"/>
                          <w:marBottom w:val="0"/>
                          <w:divBdr>
                            <w:top w:val="none" w:sz="0" w:space="0" w:color="auto"/>
                            <w:left w:val="none" w:sz="0" w:space="0" w:color="auto"/>
                            <w:bottom w:val="none" w:sz="0" w:space="0" w:color="auto"/>
                            <w:right w:val="none" w:sz="0" w:space="0" w:color="auto"/>
                          </w:divBdr>
                          <w:divsChild>
                            <w:div w:id="1982345328">
                              <w:marLeft w:val="0"/>
                              <w:marRight w:val="0"/>
                              <w:marTop w:val="0"/>
                              <w:marBottom w:val="0"/>
                              <w:divBdr>
                                <w:top w:val="none" w:sz="0" w:space="0" w:color="auto"/>
                                <w:left w:val="none" w:sz="0" w:space="0" w:color="auto"/>
                                <w:bottom w:val="none" w:sz="0" w:space="0" w:color="auto"/>
                                <w:right w:val="none" w:sz="0" w:space="0" w:color="auto"/>
                              </w:divBdr>
                              <w:divsChild>
                                <w:div w:id="17393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 TargetMode="Externa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blogs.worldbank.org/en/search?topics=Financial%20Sector" TargetMode="External"/><Relationship Id="rId7" Type="http://schemas.openxmlformats.org/officeDocument/2006/relationships/hyperlink" Target="https://blogs.worldbank.org/en/team/f/fiona-stewart" TargetMode="External"/><Relationship Id="rId12" Type="http://schemas.openxmlformats.org/officeDocument/2006/relationships/hyperlink" Target="https://twitter.co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twitter.com/" TargetMode="External"/><Relationship Id="rId20" Type="http://schemas.openxmlformats.org/officeDocument/2006/relationships/hyperlink" Target="https://blogs.worldbank.org/en/search?topics=Debt" TargetMode="External"/><Relationship Id="rId1" Type="http://schemas.openxmlformats.org/officeDocument/2006/relationships/numbering" Target="numbering.xml"/><Relationship Id="rId6" Type="http://schemas.openxmlformats.org/officeDocument/2006/relationships/hyperlink" Target="https://blogs.worldbank.org/en/team/e/erik-feyen" TargetMode="Externa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hyperlink" Target="https://blogs.worldbank.org/en/team/j/jean-pesme" TargetMode="Externa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twitter.com/" TargetMode="External"/><Relationship Id="rId19" Type="http://schemas.openxmlformats.org/officeDocument/2006/relationships/hyperlink" Target="https://www.worldbank.org/en/publication/finance-and-prosperity-2024"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twitter.com/" TargetMode="External"/><Relationship Id="rId22"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1441</Words>
  <Characters>7930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2024-10-03T04:12:00Z</dcterms:created>
  <dcterms:modified xsi:type="dcterms:W3CDTF">2024-10-08T04:18:00Z</dcterms:modified>
</cp:coreProperties>
</file>