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9DEC" w14:textId="7903C1DA" w:rsidR="00612E3D" w:rsidRPr="007E2467" w:rsidRDefault="00612E3D" w:rsidP="00612E3D">
      <w:pPr>
        <w:jc w:val="both"/>
        <w:rPr>
          <w:rFonts w:ascii="Abadi" w:hAnsi="Abadi"/>
          <w:sz w:val="28"/>
          <w:szCs w:val="28"/>
        </w:rPr>
      </w:pPr>
      <w:r w:rsidRPr="007E2467">
        <w:rPr>
          <w:rFonts w:ascii="Abadi" w:hAnsi="Abadi"/>
          <w:sz w:val="28"/>
          <w:szCs w:val="28"/>
        </w:rPr>
        <w:t>Un nuevo rayo de luz</w:t>
      </w:r>
    </w:p>
    <w:p w14:paraId="4B2954E1" w14:textId="5668FC06" w:rsidR="00612E3D" w:rsidRPr="00612E3D" w:rsidRDefault="00612E3D" w:rsidP="00612E3D">
      <w:pPr>
        <w:jc w:val="both"/>
      </w:pPr>
      <w:r w:rsidRPr="00612E3D">
        <w:rPr>
          <w:noProof/>
        </w:rPr>
        <w:drawing>
          <wp:inline distT="0" distB="0" distL="0" distR="0" wp14:anchorId="0B296BD6" wp14:editId="0DBAFDEE">
            <wp:extent cx="1138687" cy="1138687"/>
            <wp:effectExtent l="0" t="0" r="4445" b="4445"/>
            <wp:docPr id="1" name="Imagen 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899" cy="1144899"/>
                    </a:xfrm>
                    <a:prstGeom prst="rect">
                      <a:avLst/>
                    </a:prstGeom>
                    <a:noFill/>
                    <a:ln>
                      <a:noFill/>
                    </a:ln>
                  </pic:spPr>
                </pic:pic>
              </a:graphicData>
            </a:graphic>
          </wp:inline>
        </w:drawing>
      </w:r>
    </w:p>
    <w:p w14:paraId="0BAA1608" w14:textId="407ADEC0" w:rsidR="00612E3D" w:rsidRPr="00612E3D" w:rsidRDefault="00612E3D" w:rsidP="00612E3D">
      <w:pPr>
        <w:jc w:val="both"/>
      </w:pPr>
      <w:r w:rsidRPr="00612E3D">
        <w:t>Por</w:t>
      </w:r>
      <w:r>
        <w:t xml:space="preserve">: </w:t>
      </w:r>
      <w:hyperlink r:id="rId6" w:tooltip="Posts by Wilson Chang, SunRock Distributed Generation" w:history="1">
        <w:r w:rsidRPr="00612E3D">
          <w:rPr>
            <w:rStyle w:val="Hipervnculo"/>
          </w:rPr>
          <w:t>Wilson Chang, Generación Distribuida de SunRock</w:t>
        </w:r>
      </w:hyperlink>
    </w:p>
    <w:p w14:paraId="23603D6C" w14:textId="77777777" w:rsidR="00612E3D" w:rsidRPr="00612E3D" w:rsidRDefault="00612E3D" w:rsidP="00612E3D">
      <w:pPr>
        <w:jc w:val="both"/>
      </w:pPr>
      <w:r w:rsidRPr="00612E3D">
        <w:t>18 de octubre de 2024</w:t>
      </w:r>
    </w:p>
    <w:p w14:paraId="3E2128B5" w14:textId="4D05E18A" w:rsidR="00612E3D" w:rsidRPr="00612E3D" w:rsidRDefault="00612E3D" w:rsidP="00612E3D">
      <w:pPr>
        <w:jc w:val="both"/>
        <w:rPr>
          <w:b/>
          <w:bCs/>
        </w:rPr>
      </w:pPr>
      <w:r w:rsidRPr="00612E3D">
        <w:rPr>
          <w:b/>
          <w:bCs/>
        </w:rPr>
        <w:t xml:space="preserve">Wilson Chang, director ejecutivo de </w:t>
      </w:r>
      <w:r w:rsidR="007E2467" w:rsidRPr="00612E3D">
        <w:rPr>
          <w:b/>
          <w:bCs/>
        </w:rPr>
        <w:t>SunRock</w:t>
      </w:r>
      <w:r w:rsidRPr="00612E3D">
        <w:rPr>
          <w:b/>
          <w:bCs/>
        </w:rPr>
        <w:t xml:space="preserve"> Distributed Generation, destaca el papel de la energía solar y el almacenamiento en el camino de EE. UU. hacia el cero neto y la oportunidad que esto ofrece a los inversores.</w:t>
      </w:r>
    </w:p>
    <w:p w14:paraId="192384BE" w14:textId="4CB3EFE6" w:rsidR="00612E3D" w:rsidRPr="00612E3D" w:rsidRDefault="00612E3D" w:rsidP="00612E3D">
      <w:pPr>
        <w:jc w:val="both"/>
      </w:pPr>
      <w:r w:rsidRPr="00612E3D">
        <w:t>La demanda de electricidad está aumentando drásticamente debido a la adopción generalizada de la inteligencia artificial, las criptomonedas, los vehículos eléctricos y el cambio hacia un mundo digital. En los EE. UU., se estima que el consumo de electricidad aumentará aproximadamente un 50% para 2036 y</w:t>
      </w:r>
      <w:r>
        <w:t xml:space="preserve"> </w:t>
      </w:r>
      <w:hyperlink r:id="rId7" w:history="1">
        <w:r w:rsidRPr="00612E3D">
          <w:rPr>
            <w:rStyle w:val="Hipervnculo"/>
            <w:b/>
            <w:bCs/>
          </w:rPr>
          <w:t>más del doble</w:t>
        </w:r>
      </w:hyperlink>
      <w:r>
        <w:t xml:space="preserve"> </w:t>
      </w:r>
      <w:r w:rsidRPr="00612E3D">
        <w:t>para 2050 (en comparación con una línea de base de 2020). Incluso si ponemos un alfiler en la crisis climática por un momento, el hecho es que la construcción de una central eléctrica tradicional tarda años en completarse y cuesta varios millones de dólares. Quita el alfiler y está claro que "más de lo mismo" simplemente no funcionará. Para lograr el ambicioso objetivo del gobierno de EE. UU. de alcanzar el cero neto para 2050, debemos aumentar la producción de energía renovable, y debemos hacerlo rápidamente.</w:t>
      </w:r>
    </w:p>
    <w:p w14:paraId="02A83077" w14:textId="40378987" w:rsidR="00612E3D" w:rsidRPr="00612E3D" w:rsidRDefault="00612E3D" w:rsidP="00612E3D">
      <w:pPr>
        <w:jc w:val="both"/>
      </w:pPr>
      <w:r w:rsidRPr="00612E3D">
        <w:t xml:space="preserve">Gran parte del reto al que nos enfrentamos radica en el envejecimiento de las redes eléctricas. La realidad es </w:t>
      </w:r>
      <w:r w:rsidR="007E2467" w:rsidRPr="00612E3D">
        <w:t>que,</w:t>
      </w:r>
      <w:r w:rsidRPr="00612E3D">
        <w:t xml:space="preserve"> en muchos países, incluido Estados Unidos, la infraestructura de transmisión heredada ya no es adecuada para su propósito. Muchos de estos sistemas se construyeron hace décadas para alimentar un mundo que es muy diferente del cada vez más electrificado en el que nos encontramos hoy. La fragilidad de estos sistemas queda especialmente expuesta durante los fenómenos meteorológicos extremos. Por ejemplo, la helada profunda en Texas en 2021 y la ola de calor del verano de 2022 en California, que provocó cortes de energía generalizados que afectaron a millones de hogares y empresas. Los cortes también provocan aumentos de precios, lo que genera más dolor para los consumidores que ya se están viendo muy afectados por las subidas de precios inflacionistas, especialmente desde el inicio del conflicto en Ucrania. Hoy en día, aproximadamente la mitad de los precios minoristas de la energía están impulsados, no por el costo de la energía, sino por los costos asociados con el envejecimiento de la infraestructura de transmisión.</w:t>
      </w:r>
    </w:p>
    <w:p w14:paraId="0957E4A1" w14:textId="77777777" w:rsidR="00612E3D" w:rsidRPr="00612E3D" w:rsidRDefault="00612E3D" w:rsidP="00612E3D">
      <w:pPr>
        <w:jc w:val="both"/>
      </w:pPr>
      <w:r w:rsidRPr="00612E3D">
        <w:t>Una solución a este desafío energético radica en la energía solar en los tejados detrás del medidor. Al equipar todos los edificios de los EE. UU. con paneles solares, podríamos aumentar la capacidad de generación del país en un 30%, abordando directamente las demandas energéticas de los centros de datos y otros sectores de alto consumo. Esto representa una oportunidad de inversión sustancial de más de un billón de dólares. Sin embargo, la energía solar es solo una parte de un proyecto mucho más complejo -y convincente-</w:t>
      </w:r>
    </w:p>
    <w:p w14:paraId="0BEAAC17" w14:textId="77777777" w:rsidR="00612E3D" w:rsidRPr="00612E3D" w:rsidRDefault="00612E3D" w:rsidP="00612E3D">
      <w:pPr>
        <w:jc w:val="both"/>
      </w:pPr>
      <w:r w:rsidRPr="00612E3D">
        <w:lastRenderedPageBreak/>
        <w:t>Futuro de energía limpia. La energía solar sirve como punto de entrada a una red energética más eficiente, más limpia y más fiable. Cada US$1 de energía solar comercial detrás del medidor gastado hoy conducirá a otros US$3 de almacenamiento, planta de energía virtual, electrificación e infraestructura adicional, lo que representa una oportunidad multimillonaria para los inversores.</w:t>
      </w:r>
    </w:p>
    <w:p w14:paraId="44D8B048" w14:textId="77777777" w:rsidR="00612E3D" w:rsidRPr="00612E3D" w:rsidRDefault="00612E3D" w:rsidP="00612E3D">
      <w:pPr>
        <w:jc w:val="both"/>
        <w:rPr>
          <w:b/>
          <w:bCs/>
        </w:rPr>
      </w:pPr>
      <w:r w:rsidRPr="00612E3D">
        <w:rPr>
          <w:b/>
          <w:bCs/>
        </w:rPr>
        <w:t>Alimentando el gran interruptor</w:t>
      </w:r>
    </w:p>
    <w:p w14:paraId="47EFA51B" w14:textId="337F35A1" w:rsidR="00612E3D" w:rsidRPr="00612E3D" w:rsidRDefault="00612E3D" w:rsidP="00612E3D">
      <w:pPr>
        <w:jc w:val="both"/>
      </w:pPr>
      <w:r w:rsidRPr="00612E3D">
        <w:t>A nivel mundial, la inversión en energías renovables ha aumentado considerablemente en los</w:t>
      </w:r>
      <w:r w:rsidR="007E2467">
        <w:t xml:space="preserve"> </w:t>
      </w:r>
      <w:hyperlink r:id="rId8" w:history="1">
        <w:r w:rsidRPr="00612E3D">
          <w:rPr>
            <w:rStyle w:val="Hipervnculo"/>
            <w:b/>
            <w:bCs/>
          </w:rPr>
          <w:t>últimos nueve años</w:t>
        </w:r>
      </w:hyperlink>
      <w:r w:rsidRPr="00612E3D">
        <w:t>, ya que una serie de partes interesadas, desde gobiernos hasta grandes corporaciones, buscan reclamar su lugar en el nuevo futuro energético. En Estados Unidos, el mayor cambio se produjo en 2022. Se espera que la firma de la Ley de Reducción de la Inflación (IRA, por sus siglas en inglés) libere 1,2 billones de dólares de gasto público y recortes de impuestos en la economía, destinados a un amplio espectro de tecnologías de energía renovable, incluida la solar. Según la</w:t>
      </w:r>
      <w:r w:rsidR="007E2467">
        <w:t xml:space="preserve"> </w:t>
      </w:r>
      <w:hyperlink r:id="rId9" w:history="1">
        <w:r w:rsidRPr="00612E3D">
          <w:rPr>
            <w:rStyle w:val="Hipervnculo"/>
            <w:b/>
            <w:bCs/>
          </w:rPr>
          <w:t>Asociación de Industrias de Energía Solar (SEIA),</w:t>
        </w:r>
      </w:hyperlink>
      <w:r w:rsidR="007E2467">
        <w:t xml:space="preserve"> </w:t>
      </w:r>
      <w:r w:rsidRPr="00612E3D">
        <w:t>se han anunciado 155 gigavatios de nueva producción de energía solar en toda la cadena de suministro solar desde que se aprobó la IRA. En la próxima década, la IRA conducirá a un 48% más de despliegue solar de lo que se esperaría en un escenario sin IRA.</w:t>
      </w:r>
    </w:p>
    <w:p w14:paraId="4F9DE5C8" w14:textId="77777777" w:rsidR="00612E3D" w:rsidRPr="00612E3D" w:rsidRDefault="00612E3D" w:rsidP="00612E3D">
      <w:pPr>
        <w:jc w:val="both"/>
        <w:rPr>
          <w:b/>
          <w:bCs/>
        </w:rPr>
      </w:pPr>
      <w:r w:rsidRPr="00612E3D">
        <w:rPr>
          <w:b/>
          <w:bCs/>
        </w:rPr>
        <w:t>Reorganización del paquete energético</w:t>
      </w:r>
    </w:p>
    <w:p w14:paraId="778515DA" w14:textId="517BEF3F" w:rsidR="00612E3D" w:rsidRPr="00612E3D" w:rsidRDefault="00612E3D" w:rsidP="00612E3D">
      <w:pPr>
        <w:jc w:val="both"/>
      </w:pPr>
      <w:r w:rsidRPr="00612E3D">
        <w:t>Según datos de la</w:t>
      </w:r>
      <w:r w:rsidR="007E2467">
        <w:t xml:space="preserve"> </w:t>
      </w:r>
      <w:hyperlink r:id="rId10" w:history="1">
        <w:r w:rsidRPr="00612E3D">
          <w:rPr>
            <w:rStyle w:val="Hipervnculo"/>
            <w:b/>
            <w:bCs/>
          </w:rPr>
          <w:t>Comisión Federal Reguladora de Energía (FERC, por sus siglas</w:t>
        </w:r>
      </w:hyperlink>
      <w:r w:rsidR="007E2467">
        <w:t xml:space="preserve"> </w:t>
      </w:r>
      <w:r w:rsidRPr="00612E3D">
        <w:t>en inglés), la energía solar está en camino de convertirse en la segunda mayor fuente de capacidad de EE. UU., solo detrás del gas natural, dentro de tres años. Esto representa una reorganización importante de la composición de la producción de energía. Históricamente, la hidroeléctrica ha dominado la generación de electricidad baja en carbono, y en su apogeo representó casi la mitad de la generación de energía renovable</w:t>
      </w:r>
      <w:r w:rsidR="007E2467">
        <w:t xml:space="preserve"> </w:t>
      </w:r>
      <w:hyperlink r:id="rId11" w:history="1">
        <w:r w:rsidRPr="00612E3D">
          <w:rPr>
            <w:rStyle w:val="Hipervnculo"/>
            <w:b/>
            <w:bCs/>
          </w:rPr>
          <w:t>en todo el mundo</w:t>
        </w:r>
      </w:hyperlink>
      <w:r w:rsidRPr="00612E3D">
        <w:t>. Sin embargo, los desafíos causados por el envejecimiento de la infraestructura, al igual que en las centrales eléctricas tradicionales, y la sequía provocada por el cambio climático han obstaculizado significativamente la expansión de la industria en los últimos años.</w:t>
      </w:r>
    </w:p>
    <w:p w14:paraId="47A43120" w14:textId="3BDAE115" w:rsidR="00612E3D" w:rsidRPr="00612E3D" w:rsidRDefault="00612E3D" w:rsidP="00612E3D">
      <w:pPr>
        <w:jc w:val="both"/>
      </w:pPr>
      <w:r w:rsidRPr="00612E3D">
        <w:t>En comparación, el potencial de la tecnología solar parece ilimitado. Aunque el 70% de los edificios comerciales en los EE. UU. se consideran adecuados para instalar energía solar, solo el 3,5% de los edificios comerciales habían instalado energía solar a</w:t>
      </w:r>
      <w:r w:rsidR="007E2467">
        <w:t xml:space="preserve"> </w:t>
      </w:r>
      <w:hyperlink r:id="rId12" w:history="1">
        <w:r w:rsidRPr="00612E3D">
          <w:rPr>
            <w:rStyle w:val="Hipervnculo"/>
            <w:b/>
            <w:bCs/>
          </w:rPr>
          <w:t>partir de 2020</w:t>
        </w:r>
      </w:hyperlink>
      <w:r w:rsidRPr="00612E3D">
        <w:t>, y los datos más recientes sugieren que la penetración</w:t>
      </w:r>
      <w:r w:rsidR="007E2467">
        <w:t xml:space="preserve"> </w:t>
      </w:r>
      <w:hyperlink r:id="rId13" w:history="1">
        <w:r w:rsidRPr="00612E3D">
          <w:rPr>
            <w:rStyle w:val="Hipervnculo"/>
            <w:b/>
            <w:bCs/>
          </w:rPr>
          <w:t>aún no ha superado el 5%.</w:t>
        </w:r>
      </w:hyperlink>
      <w:r w:rsidR="007E2467">
        <w:t xml:space="preserve"> </w:t>
      </w:r>
      <w:r w:rsidRPr="00612E3D">
        <w:t>Esto deja un gran potencial de crecimiento en la base instalada. La mayoría de los tejados comerciales planos pueden instalarse con paneles solares y convertirse en centrales eléctricas altamente productivas. La energía solar también tiene ventajas sobre la energía eólica y otras generaciones, ya que se puede construir en el sitio donde es más valiosa, y en la mayoría de los proyectos de menor escala, no requiere permiso de planificación previo.</w:t>
      </w:r>
    </w:p>
    <w:p w14:paraId="00FD65E1" w14:textId="77777777" w:rsidR="00612E3D" w:rsidRPr="00612E3D" w:rsidRDefault="00612E3D" w:rsidP="00612E3D">
      <w:pPr>
        <w:jc w:val="both"/>
        <w:rPr>
          <w:b/>
          <w:bCs/>
        </w:rPr>
      </w:pPr>
      <w:r w:rsidRPr="00612E3D">
        <w:rPr>
          <w:b/>
          <w:bCs/>
        </w:rPr>
        <w:t>Vientos de cola de la industria solar</w:t>
      </w:r>
    </w:p>
    <w:p w14:paraId="143A26A2" w14:textId="77777777" w:rsidR="00612E3D" w:rsidRPr="00612E3D" w:rsidRDefault="00612E3D" w:rsidP="00612E3D">
      <w:pPr>
        <w:jc w:val="both"/>
      </w:pPr>
      <w:r w:rsidRPr="00612E3D">
        <w:t>Se espera que la IRA reduzca el precio de los paneles solares a centavos por vatio para fines de esta década. Sin embargo, la caída de los costes no es el único viento de cola que impulsa el mercado solar. Los avances tecnológicos, particularmente en los inversores solares, están creando sistemas que son capaces de recolectar más energía, acelerando el período de retorno de la inversión para los propietarios de sistemas. Del mismo modo, las mejoras en las prácticas de instalación están haciendo posible colocar energía solar en lugares donde antes simplemente no podíamos.</w:t>
      </w:r>
    </w:p>
    <w:p w14:paraId="15E8C9AE" w14:textId="77777777" w:rsidR="00612E3D" w:rsidRPr="00612E3D" w:rsidRDefault="00612E3D" w:rsidP="00612E3D">
      <w:pPr>
        <w:jc w:val="both"/>
      </w:pPr>
      <w:r w:rsidRPr="00612E3D">
        <w:lastRenderedPageBreak/>
        <w:t>Los bloques de apartamentos de gran altura son un buen ejemplo. Por lo general, estos edificios tienen un alto consumo de energía, pero un espacio en el techo relativamente pequeño en el que instalar paneles solares. ¿La solución? Monte los paneles en conjuntos verticales en las paredes del edificio para maximizar la producción de energía. Otros ejemplos incluyen el creciente uso de AgriPV, también conocida como agrivoltaica, una práctica innovadora que permite a los agricultores cosechar electricidad solar limpia y renovable y cultivos agrícolas de la misma tierra.</w:t>
      </w:r>
    </w:p>
    <w:p w14:paraId="1E8DD95D" w14:textId="77777777" w:rsidR="00612E3D" w:rsidRPr="00612E3D" w:rsidRDefault="00612E3D" w:rsidP="00612E3D">
      <w:pPr>
        <w:jc w:val="both"/>
        <w:rPr>
          <w:b/>
          <w:bCs/>
        </w:rPr>
      </w:pPr>
      <w:r w:rsidRPr="00612E3D">
        <w:rPr>
          <w:b/>
          <w:bCs/>
        </w:rPr>
        <w:t>Iluminación solar el camino</w:t>
      </w:r>
    </w:p>
    <w:p w14:paraId="42D88902" w14:textId="77777777" w:rsidR="00612E3D" w:rsidRPr="00612E3D" w:rsidRDefault="00612E3D" w:rsidP="00612E3D">
      <w:pPr>
        <w:jc w:val="both"/>
      </w:pPr>
      <w:r w:rsidRPr="00612E3D">
        <w:t>El respaldo financiero y la colaboración son cruciales para respaldar la expansión y la sostenibilidad de los proyectos de energía renovable, creando oportunidades para inversores grandes y pequeños. La energía solar es una tecnología confiable y de maduración rápida que ofrece rendimientos constantes durante largos períodos de tiempo (generalmente 25 años +). Esto es especialmente atractivo para instituciones como las compañías de seguros que buscan invertir en activos de rendimiento largo que se alineen con el perfil de duración de sus pasivos.</w:t>
      </w:r>
    </w:p>
    <w:p w14:paraId="080CE71C" w14:textId="4509FA45" w:rsidR="00612E3D" w:rsidRPr="00612E3D" w:rsidRDefault="00612E3D" w:rsidP="00612E3D">
      <w:pPr>
        <w:jc w:val="both"/>
      </w:pPr>
      <w:r w:rsidRPr="00612E3D">
        <w:t xml:space="preserve">A medida que el mundo continúa la transición hacia un futuro más sostenible, los inversores reconocen cada vez más la escalabilidad y la rentabilidad del mercado solar comercial. Hasta hace relativamente poco, los inversores solían centrarse en proyectos a gran escala. Sin embargo, esto está empezando a cambiar a medida que los inversores buscan diversificar sus carteras de energías renovables y entrar en sectores previamente sin explotar. Esta tendencia está recibiendo un impulso adicional con la llegada de modelos de financiación innovadores que están diseñados para ayudar a las pequeñas y medianas empresas a desbloquear el acceso a la energía solar y el almacenamiento. Al eliminar las barreras financieras y logísticas que pueden experimentar las organizaciones sin ánimo de lucro y el sector educativo, este mercado </w:t>
      </w:r>
      <w:r w:rsidR="007E2467" w:rsidRPr="00612E3D">
        <w:t>desatendido,</w:t>
      </w:r>
      <w:r w:rsidRPr="00612E3D">
        <w:t xml:space="preserve"> pero de alta demanda puede ofrecer a los inversores un crecimiento significativo de la cartera con un retorno de la inversión fiable.</w:t>
      </w:r>
    </w:p>
    <w:p w14:paraId="720AE301" w14:textId="77777777" w:rsidR="00612E3D" w:rsidRPr="00612E3D" w:rsidRDefault="00612E3D" w:rsidP="00612E3D">
      <w:pPr>
        <w:jc w:val="both"/>
      </w:pPr>
      <w:r w:rsidRPr="00612E3D">
        <w:t>En un mundo incierto, hay algunas cosas de las que podemos estar seguros: la demanda de electricidad seguirá aumentando, al igual que el precio de la energía suministrada por la red; Mientras tanto, el costo de producir y almacenar energía del sol seguirá cayendo. Para hacer frente a los desafíos energéticos de los EE. UU., necesitamos aumentar la penetración solar en los edificios comerciales de la cifra actual del 3,5% a cerca del 50%. Se trata de un reto apasionante que representa una oportunidad multimillonaria para los inversores. Sin embargo, quizás lo más convincente de todo es la oportunidad que nos brinda para iluminar a las comunidades locales con acceso a energía limpia y de bajo costo y para construir una mayor resiliencia de la red para las personas que más la necesitan.</w:t>
      </w:r>
    </w:p>
    <w:p w14:paraId="00E3AFFC" w14:textId="00D12853" w:rsidR="00612E3D" w:rsidRPr="007E2467" w:rsidRDefault="00612E3D" w:rsidP="00612E3D">
      <w:pPr>
        <w:jc w:val="both"/>
      </w:pPr>
      <w:r w:rsidRPr="007E2467">
        <w:t xml:space="preserve">Artículos relacionados: </w:t>
      </w:r>
      <w:hyperlink r:id="rId14" w:history="1">
        <w:r w:rsidRPr="007E2467">
          <w:rPr>
            <w:rStyle w:val="Hipervnculo"/>
          </w:rPr>
          <w:t>ENERGÍA LIMPIA,</w:t>
        </w:r>
      </w:hyperlink>
      <w:r w:rsidR="007E2467">
        <w:rPr>
          <w:rStyle w:val="Hipervnculo"/>
        </w:rPr>
        <w:t xml:space="preserve"> </w:t>
      </w:r>
      <w:hyperlink r:id="rId15" w:history="1">
        <w:r w:rsidRPr="007E2467">
          <w:rPr>
            <w:rStyle w:val="Hipervnculo"/>
          </w:rPr>
          <w:t>EFICIENCIA ENERGÉTICA,</w:t>
        </w:r>
      </w:hyperlink>
      <w:r w:rsidRPr="007E2467">
        <w:t xml:space="preserve"> </w:t>
      </w:r>
      <w:hyperlink r:id="rId16" w:history="1">
        <w:r w:rsidRPr="007E2467">
          <w:rPr>
            <w:rStyle w:val="Hipervnculo"/>
          </w:rPr>
          <w:t>TRANSICIÓN ENERGÉTICA,</w:t>
        </w:r>
      </w:hyperlink>
      <w:r w:rsidRPr="007E2467">
        <w:t xml:space="preserve"> </w:t>
      </w:r>
      <w:hyperlink r:id="rId17" w:history="1">
        <w:r w:rsidRPr="007E2467">
          <w:rPr>
            <w:rStyle w:val="Hipervnculo"/>
          </w:rPr>
          <w:t>ESTRATEGIA DE INVERSIÓN,</w:t>
        </w:r>
      </w:hyperlink>
      <w:r w:rsidRPr="007E2467">
        <w:t xml:space="preserve"> </w:t>
      </w:r>
      <w:hyperlink r:id="rId18" w:history="1">
        <w:r w:rsidRPr="007E2467">
          <w:rPr>
            <w:rStyle w:val="Hipervnculo"/>
          </w:rPr>
          <w:t>ENERGÍAS RENOVABLES,</w:t>
        </w:r>
      </w:hyperlink>
      <w:r w:rsidR="007E2467">
        <w:rPr>
          <w:rStyle w:val="Hipervnculo"/>
        </w:rPr>
        <w:t xml:space="preserve"> </w:t>
      </w:r>
      <w:hyperlink r:id="rId19" w:history="1">
        <w:r w:rsidRPr="007E2467">
          <w:rPr>
            <w:rStyle w:val="Hipervnculo"/>
          </w:rPr>
          <w:t>ENERGÍA SOLAR</w:t>
        </w:r>
      </w:hyperlink>
    </w:p>
    <w:p w14:paraId="3AC07E1F" w14:textId="77777777" w:rsidR="007972CC" w:rsidRPr="007E2467" w:rsidRDefault="007972CC" w:rsidP="00612E3D">
      <w:pPr>
        <w:jc w:val="both"/>
      </w:pPr>
    </w:p>
    <w:sectPr w:rsidR="007972CC" w:rsidRPr="007E24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F4A68"/>
    <w:multiLevelType w:val="multilevel"/>
    <w:tmpl w:val="6A92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3D"/>
    <w:rsid w:val="00612E3D"/>
    <w:rsid w:val="007972CC"/>
    <w:rsid w:val="007E24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7C6C"/>
  <w15:chartTrackingRefBased/>
  <w15:docId w15:val="{E450547B-1617-4E71-907C-058866BA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2E3D"/>
    <w:rPr>
      <w:color w:val="0563C1" w:themeColor="hyperlink"/>
      <w:u w:val="single"/>
    </w:rPr>
  </w:style>
  <w:style w:type="character" w:styleId="Mencinsinresolver">
    <w:name w:val="Unresolved Mention"/>
    <w:basedOn w:val="Fuentedeprrafopredeter"/>
    <w:uiPriority w:val="99"/>
    <w:semiHidden/>
    <w:unhideWhenUsed/>
    <w:rsid w:val="0061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44561">
      <w:bodyDiv w:val="1"/>
      <w:marLeft w:val="0"/>
      <w:marRight w:val="0"/>
      <w:marTop w:val="0"/>
      <w:marBottom w:val="0"/>
      <w:divBdr>
        <w:top w:val="none" w:sz="0" w:space="0" w:color="auto"/>
        <w:left w:val="none" w:sz="0" w:space="0" w:color="auto"/>
        <w:bottom w:val="none" w:sz="0" w:space="0" w:color="auto"/>
        <w:right w:val="none" w:sz="0" w:space="0" w:color="auto"/>
      </w:divBdr>
      <w:divsChild>
        <w:div w:id="1378160712">
          <w:marLeft w:val="0"/>
          <w:marRight w:val="0"/>
          <w:marTop w:val="150"/>
          <w:marBottom w:val="0"/>
          <w:divBdr>
            <w:top w:val="none" w:sz="0" w:space="0" w:color="auto"/>
            <w:left w:val="none" w:sz="0" w:space="0" w:color="auto"/>
            <w:bottom w:val="none" w:sz="0" w:space="0" w:color="auto"/>
            <w:right w:val="none" w:sz="0" w:space="0" w:color="auto"/>
          </w:divBdr>
          <w:divsChild>
            <w:div w:id="603656572">
              <w:marLeft w:val="-1050"/>
              <w:marRight w:val="0"/>
              <w:marTop w:val="0"/>
              <w:marBottom w:val="0"/>
              <w:divBdr>
                <w:top w:val="none" w:sz="0" w:space="0" w:color="auto"/>
                <w:left w:val="none" w:sz="0" w:space="0" w:color="auto"/>
                <w:bottom w:val="none" w:sz="0" w:space="0" w:color="auto"/>
                <w:right w:val="none" w:sz="0" w:space="0" w:color="auto"/>
              </w:divBdr>
              <w:divsChild>
                <w:div w:id="1332102393">
                  <w:marLeft w:val="0"/>
                  <w:marRight w:val="300"/>
                  <w:marTop w:val="0"/>
                  <w:marBottom w:val="0"/>
                  <w:divBdr>
                    <w:top w:val="none" w:sz="0" w:space="0" w:color="auto"/>
                    <w:left w:val="none" w:sz="0" w:space="0" w:color="auto"/>
                    <w:bottom w:val="none" w:sz="0" w:space="0" w:color="auto"/>
                    <w:right w:val="none" w:sz="0" w:space="0" w:color="auto"/>
                  </w:divBdr>
                </w:div>
                <w:div w:id="1937666027">
                  <w:marLeft w:val="1050"/>
                  <w:marRight w:val="0"/>
                  <w:marTop w:val="0"/>
                  <w:marBottom w:val="0"/>
                  <w:divBdr>
                    <w:top w:val="none" w:sz="0" w:space="0" w:color="auto"/>
                    <w:left w:val="none" w:sz="0" w:space="0" w:color="auto"/>
                    <w:bottom w:val="none" w:sz="0" w:space="0" w:color="auto"/>
                    <w:right w:val="none" w:sz="0" w:space="0" w:color="auto"/>
                  </w:divBdr>
                  <w:divsChild>
                    <w:div w:id="34697757">
                      <w:marLeft w:val="0"/>
                      <w:marRight w:val="0"/>
                      <w:marTop w:val="75"/>
                      <w:marBottom w:val="0"/>
                      <w:divBdr>
                        <w:top w:val="none" w:sz="0" w:space="0" w:color="auto"/>
                        <w:left w:val="none" w:sz="0" w:space="0" w:color="auto"/>
                        <w:bottom w:val="none" w:sz="0" w:space="0" w:color="auto"/>
                        <w:right w:val="none" w:sz="0" w:space="0" w:color="auto"/>
                      </w:divBdr>
                      <w:divsChild>
                        <w:div w:id="557518571">
                          <w:marLeft w:val="0"/>
                          <w:marRight w:val="0"/>
                          <w:marTop w:val="0"/>
                          <w:marBottom w:val="75"/>
                          <w:divBdr>
                            <w:top w:val="none" w:sz="0" w:space="0" w:color="auto"/>
                            <w:left w:val="none" w:sz="0" w:space="0" w:color="auto"/>
                            <w:bottom w:val="single" w:sz="6" w:space="4" w:color="DDDDDD"/>
                            <w:right w:val="none" w:sz="0" w:space="0" w:color="auto"/>
                          </w:divBdr>
                          <w:divsChild>
                            <w:div w:id="237791954">
                              <w:marLeft w:val="0"/>
                              <w:marRight w:val="0"/>
                              <w:marTop w:val="0"/>
                              <w:marBottom w:val="0"/>
                              <w:divBdr>
                                <w:top w:val="none" w:sz="0" w:space="0" w:color="auto"/>
                                <w:left w:val="none" w:sz="0" w:space="0" w:color="auto"/>
                                <w:bottom w:val="none" w:sz="0" w:space="0" w:color="auto"/>
                                <w:right w:val="none" w:sz="0" w:space="0" w:color="auto"/>
                              </w:divBdr>
                            </w:div>
                          </w:divsChild>
                        </w:div>
                        <w:div w:id="12815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272600">
          <w:marLeft w:val="0"/>
          <w:marRight w:val="0"/>
          <w:marTop w:val="0"/>
          <w:marBottom w:val="0"/>
          <w:divBdr>
            <w:top w:val="none" w:sz="0" w:space="0" w:color="auto"/>
            <w:left w:val="none" w:sz="0" w:space="0" w:color="auto"/>
            <w:bottom w:val="none" w:sz="0" w:space="0" w:color="auto"/>
            <w:right w:val="none" w:sz="0" w:space="0" w:color="auto"/>
          </w:divBdr>
          <w:divsChild>
            <w:div w:id="2096514291">
              <w:marLeft w:val="0"/>
              <w:marRight w:val="0"/>
              <w:marTop w:val="0"/>
              <w:marBottom w:val="0"/>
              <w:divBdr>
                <w:top w:val="none" w:sz="0" w:space="0" w:color="auto"/>
                <w:left w:val="none" w:sz="0" w:space="0" w:color="auto"/>
                <w:bottom w:val="none" w:sz="0" w:space="0" w:color="auto"/>
                <w:right w:val="none" w:sz="0" w:space="0" w:color="auto"/>
              </w:divBdr>
              <w:divsChild>
                <w:div w:id="1094934641">
                  <w:marLeft w:val="0"/>
                  <w:marRight w:val="0"/>
                  <w:marTop w:val="0"/>
                  <w:marBottom w:val="0"/>
                  <w:divBdr>
                    <w:top w:val="none" w:sz="0" w:space="0" w:color="auto"/>
                    <w:left w:val="none" w:sz="0" w:space="0" w:color="auto"/>
                    <w:bottom w:val="none" w:sz="0" w:space="0" w:color="auto"/>
                    <w:right w:val="none" w:sz="0" w:space="0" w:color="auto"/>
                  </w:divBdr>
                  <w:divsChild>
                    <w:div w:id="1619797557">
                      <w:marLeft w:val="0"/>
                      <w:marRight w:val="0"/>
                      <w:marTop w:val="0"/>
                      <w:marBottom w:val="0"/>
                      <w:divBdr>
                        <w:top w:val="none" w:sz="0" w:space="0" w:color="auto"/>
                        <w:left w:val="none" w:sz="0" w:space="0" w:color="auto"/>
                        <w:bottom w:val="none" w:sz="0" w:space="0" w:color="auto"/>
                        <w:right w:val="none" w:sz="0" w:space="0" w:color="auto"/>
                      </w:divBdr>
                      <w:divsChild>
                        <w:div w:id="1640070510">
                          <w:marLeft w:val="0"/>
                          <w:marRight w:val="0"/>
                          <w:marTop w:val="375"/>
                          <w:marBottom w:val="375"/>
                          <w:divBdr>
                            <w:top w:val="none" w:sz="0" w:space="0" w:color="auto"/>
                            <w:left w:val="none" w:sz="0" w:space="0" w:color="auto"/>
                            <w:bottom w:val="none" w:sz="0" w:space="0" w:color="auto"/>
                            <w:right w:val="none" w:sz="0" w:space="0" w:color="auto"/>
                          </w:divBdr>
                          <w:divsChild>
                            <w:div w:id="742796117">
                              <w:marLeft w:val="0"/>
                              <w:marRight w:val="0"/>
                              <w:marTop w:val="0"/>
                              <w:marBottom w:val="0"/>
                              <w:divBdr>
                                <w:top w:val="none" w:sz="0" w:space="0" w:color="auto"/>
                                <w:left w:val="none" w:sz="0" w:space="0" w:color="auto"/>
                                <w:bottom w:val="none" w:sz="0" w:space="0" w:color="auto"/>
                                <w:right w:val="none" w:sz="0" w:space="0" w:color="auto"/>
                              </w:divBdr>
                            </w:div>
                          </w:divsChild>
                        </w:div>
                        <w:div w:id="181674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world-energy-investment-2024/overview-and-key-findings" TargetMode="External"/><Relationship Id="rId13" Type="http://schemas.openxmlformats.org/officeDocument/2006/relationships/hyperlink" Target="https://www.cbre.com/insights/viewpoints/solar-energy-opportunities-in-us-industrial-real-estate" TargetMode="External"/><Relationship Id="rId18" Type="http://schemas.openxmlformats.org/officeDocument/2006/relationships/hyperlink" Target="https://www.esginvestor.net/tag/renewabl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ationalgrid.com/stories/energy-explained/how-will-our-electricity-supply-change-future" TargetMode="External"/><Relationship Id="rId12" Type="http://schemas.openxmlformats.org/officeDocument/2006/relationships/hyperlink" Target="https://www.woodmac.com/news/editorial/commercial-solar-market-sizing-us-2020/" TargetMode="External"/><Relationship Id="rId17" Type="http://schemas.openxmlformats.org/officeDocument/2006/relationships/hyperlink" Target="https://www.esginvestor.net/tag/investment-strategy/" TargetMode="External"/><Relationship Id="rId2" Type="http://schemas.openxmlformats.org/officeDocument/2006/relationships/styles" Target="styles.xml"/><Relationship Id="rId16" Type="http://schemas.openxmlformats.org/officeDocument/2006/relationships/hyperlink" Target="https://www.esginvestor.net/tag/energy-transi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sginvestor.net/author/wilson-chang/" TargetMode="External"/><Relationship Id="rId11" Type="http://schemas.openxmlformats.org/officeDocument/2006/relationships/hyperlink" Target="https://www.iea.org/reports/hydropower-special-market-report/executive-summary" TargetMode="External"/><Relationship Id="rId5" Type="http://schemas.openxmlformats.org/officeDocument/2006/relationships/image" Target="media/image1.png"/><Relationship Id="rId15" Type="http://schemas.openxmlformats.org/officeDocument/2006/relationships/hyperlink" Target="https://www.esginvestor.net/tag/energy-efficiency/" TargetMode="External"/><Relationship Id="rId10" Type="http://schemas.openxmlformats.org/officeDocument/2006/relationships/hyperlink" Target="https://cms.ferc.gov/media/energy-infrastructure-update-may-2024" TargetMode="External"/><Relationship Id="rId19" Type="http://schemas.openxmlformats.org/officeDocument/2006/relationships/hyperlink" Target="https://www.esginvestor.net/tag/solar-energy/" TargetMode="External"/><Relationship Id="rId4" Type="http://schemas.openxmlformats.org/officeDocument/2006/relationships/webSettings" Target="webSettings.xml"/><Relationship Id="rId9" Type="http://schemas.openxmlformats.org/officeDocument/2006/relationships/hyperlink" Target="https://www.seia.org/research-resources/impact-inflation-reduction-act" TargetMode="External"/><Relationship Id="rId14" Type="http://schemas.openxmlformats.org/officeDocument/2006/relationships/hyperlink" Target="https://www.esginvestor.net/tag/clean-energ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1638</Words>
  <Characters>9011</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2</cp:revision>
  <dcterms:created xsi:type="dcterms:W3CDTF">2024-10-26T03:50:00Z</dcterms:created>
  <dcterms:modified xsi:type="dcterms:W3CDTF">2024-10-29T02:38:00Z</dcterms:modified>
</cp:coreProperties>
</file>