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892A9" w14:textId="74B7DCE2" w:rsidR="00261842" w:rsidRPr="001F0539" w:rsidRDefault="00261842" w:rsidP="00261842">
      <w:pPr>
        <w:jc w:val="both"/>
        <w:rPr>
          <w:rFonts w:ascii="Abadi" w:hAnsi="Abadi"/>
          <w:sz w:val="28"/>
          <w:szCs w:val="28"/>
        </w:rPr>
      </w:pPr>
      <w:r w:rsidRPr="001F0539">
        <w:rPr>
          <w:rFonts w:ascii="Abadi" w:hAnsi="Abadi"/>
          <w:sz w:val="28"/>
          <w:szCs w:val="28"/>
        </w:rPr>
        <w:t>Canadá promueve la divulgación obligatoria de información climática y directrices de inversión sostenible</w:t>
      </w:r>
    </w:p>
    <w:p w14:paraId="0CA660EB" w14:textId="316D05EE" w:rsidR="00261842" w:rsidRPr="00261842" w:rsidRDefault="00261842" w:rsidP="00261842">
      <w:pPr>
        <w:jc w:val="both"/>
      </w:pPr>
      <w:r w:rsidRPr="00261842">
        <w:rPr>
          <w:noProof/>
        </w:rPr>
        <w:drawing>
          <wp:inline distT="0" distB="0" distL="0" distR="0" wp14:anchorId="4E9467A2" wp14:editId="26C367AC">
            <wp:extent cx="5612130" cy="421132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4211320"/>
                    </a:xfrm>
                    <a:prstGeom prst="rect">
                      <a:avLst/>
                    </a:prstGeom>
                    <a:noFill/>
                    <a:ln>
                      <a:noFill/>
                    </a:ln>
                  </pic:spPr>
                </pic:pic>
              </a:graphicData>
            </a:graphic>
          </wp:inline>
        </w:drawing>
      </w:r>
    </w:p>
    <w:p w14:paraId="3CDF7399" w14:textId="5768F21F" w:rsidR="001F0539" w:rsidRPr="00261842" w:rsidRDefault="001F0539" w:rsidP="001F0539">
      <w:pPr>
        <w:jc w:val="both"/>
      </w:pPr>
      <w:r w:rsidRPr="00261842">
        <w:t>Publicado el 18 de octubre de 2024 por</w:t>
      </w:r>
      <w:r>
        <w:t xml:space="preserve"> </w:t>
      </w:r>
      <w:hyperlink r:id="rId6" w:history="1">
        <w:r w:rsidRPr="00261842">
          <w:rPr>
            <w:rStyle w:val="Hipervnculo"/>
            <w:b/>
            <w:bCs/>
          </w:rPr>
          <w:t>Editor</w:t>
        </w:r>
      </w:hyperlink>
    </w:p>
    <w:p w14:paraId="65E0CE84" w14:textId="725FCC2C" w:rsidR="00261842" w:rsidRPr="00261842" w:rsidRDefault="00261842" w:rsidP="00261842">
      <w:pPr>
        <w:jc w:val="both"/>
      </w:pPr>
      <w:r w:rsidRPr="00261842">
        <w:t>El Gobierno de Canadá ha continuado su impulso plurianual hacia la presentación de informes ESG al anunciar la obligación de presentar divulgaciones financieras relacionadas con el clima para grandes empresas privadas constituidas a nivel federal.</w:t>
      </w:r>
      <w:r>
        <w:t xml:space="preserve"> </w:t>
      </w:r>
      <w:r w:rsidRPr="00261842">
        <w:t>Estas medidas, presentadas en la conferencia Principios de Inversión Responsable en Toronto, tienen como objetivo aumentar la transparencia en los informes climáticos y fomentar una mayor inversión del sector privado en actividades sostenibles.</w:t>
      </w:r>
    </w:p>
    <w:p w14:paraId="7C5F922A" w14:textId="77777777" w:rsidR="00261842" w:rsidRPr="00261842" w:rsidRDefault="00261842" w:rsidP="00261842">
      <w:pPr>
        <w:jc w:val="both"/>
      </w:pPr>
      <w:r w:rsidRPr="00261842">
        <w:t>El gobierno planea modificar la Ley de Sociedades Comerciales de Canadá para implementar estas divulgaciones, con un proceso reglamentario para precisar los detalles. Las pequeñas y medianas empresas están exentas por ahora, pero el gobierno está explorando formas de alentarlas a que presenten informes voluntarios.</w:t>
      </w:r>
    </w:p>
    <w:p w14:paraId="79774AE4" w14:textId="77777777" w:rsidR="00261842" w:rsidRPr="00261842" w:rsidRDefault="00261842" w:rsidP="00261842">
      <w:pPr>
        <w:jc w:val="both"/>
      </w:pPr>
      <w:r w:rsidRPr="00261842">
        <w:t xml:space="preserve">Esta ampliación se produce en respuesta a la directiva de Canadá de 2021, que exigía que el Grupo de Trabajo sobre Divulgación de Información Financiera relacionada con el Clima (TCFD, por sus siglas en inglés) elaborara informes en consonancia con la normativa de la ISSB (que ahora es competencia de la ISSB y se ha incorporado a las normas de la ISSB). En 2022, la Oficina del Superintendente de Instituciones Financieras (OSFI, por sus siglas en inglés) anunció que las </w:t>
      </w:r>
      <w:r w:rsidRPr="00261842">
        <w:lastRenderedPageBreak/>
        <w:t>instituciones financieras reguladas por el gobierno federal tendrían la obligación de publicar divulgaciones en consonancia con la normativa de la TCFD para 2024.</w:t>
      </w:r>
    </w:p>
    <w:p w14:paraId="708113EC" w14:textId="77777777" w:rsidR="00261842" w:rsidRPr="00261842" w:rsidRDefault="00261842" w:rsidP="00261842">
      <w:pPr>
        <w:jc w:val="both"/>
      </w:pPr>
      <w:r w:rsidRPr="00261842">
        <w:t>El gobierno también reveló planes para elaborar directrices de inversión sostenible, que ayudarán a los inversores a identificar actividades ecológicas y de transición. Estas directrices tienen como objetivo proporcionar un sistema de clasificación creíble, que garantice que el capital fluya hacia las áreas adecuadas de la economía, como la energía limpia, la producción de vehículos eléctricos y la descarbonización de la industria pesada.</w:t>
      </w:r>
    </w:p>
    <w:p w14:paraId="22E631C2" w14:textId="77777777" w:rsidR="00261842" w:rsidRPr="00261842" w:rsidRDefault="00261842" w:rsidP="00261842">
      <w:pPr>
        <w:jc w:val="both"/>
      </w:pPr>
      <w:r w:rsidRPr="00261842">
        <w:t>Por supuesto, Canadá necesita iniciar su viaje digital, reconociendo la importancia no solo de contar con información comparable y de alta calidad de la que la administración sea responsable, sino también de garantizar que la información sea digital, accesible y fácil de encontrar. Como siempre, XBRL International está aquí para ayudar.</w:t>
      </w:r>
    </w:p>
    <w:p w14:paraId="740F9E0A" w14:textId="7063AA65" w:rsidR="00261842" w:rsidRPr="00261842" w:rsidRDefault="00261842" w:rsidP="00261842">
      <w:pPr>
        <w:jc w:val="both"/>
      </w:pPr>
      <w:r w:rsidRPr="00261842">
        <w:t>Para más detalles, consulte la declaración oficial del gobierno</w:t>
      </w:r>
      <w:r w:rsidR="001F0539">
        <w:t xml:space="preserve"> </w:t>
      </w:r>
      <w:hyperlink r:id="rId7" w:tgtFrame="_blank" w:history="1">
        <w:r w:rsidRPr="00261842">
          <w:rPr>
            <w:rStyle w:val="Hipervnculo"/>
          </w:rPr>
          <w:t>aquí</w:t>
        </w:r>
      </w:hyperlink>
      <w:r w:rsidRPr="00261842">
        <w:t>.</w:t>
      </w:r>
    </w:p>
    <w:p w14:paraId="162ED92D" w14:textId="2509D7F6" w:rsidR="00261842" w:rsidRPr="00261842" w:rsidRDefault="0012241F" w:rsidP="00261842">
      <w:pPr>
        <w:jc w:val="both"/>
      </w:pPr>
      <w:hyperlink r:id="rId8" w:history="1">
        <w:r w:rsidR="00261842" w:rsidRPr="00261842">
          <w:rPr>
            <w:rStyle w:val="Hipervnculo"/>
          </w:rPr>
          <w:t>Canadá</w:t>
        </w:r>
        <w:r w:rsidR="001F0539">
          <w:rPr>
            <w:rStyle w:val="Hipervnculo"/>
          </w:rPr>
          <w:t xml:space="preserve"> </w:t>
        </w:r>
      </w:hyperlink>
      <w:hyperlink r:id="rId9" w:history="1">
        <w:r w:rsidR="00261842" w:rsidRPr="00261842">
          <w:rPr>
            <w:rStyle w:val="Hipervnculo"/>
          </w:rPr>
          <w:t>Clima</w:t>
        </w:r>
        <w:r w:rsidR="001F0539">
          <w:rPr>
            <w:rStyle w:val="Hipervnculo"/>
          </w:rPr>
          <w:t xml:space="preserve"> </w:t>
        </w:r>
      </w:hyperlink>
      <w:hyperlink r:id="rId10" w:history="1">
        <w:r w:rsidR="00261842" w:rsidRPr="00261842">
          <w:rPr>
            <w:rStyle w:val="Hipervnculo"/>
          </w:rPr>
          <w:t>ESG</w:t>
        </w:r>
        <w:r w:rsidR="001F0539">
          <w:rPr>
            <w:rStyle w:val="Hipervnculo"/>
          </w:rPr>
          <w:t xml:space="preserve"> </w:t>
        </w:r>
      </w:hyperlink>
      <w:hyperlink r:id="rId11" w:history="1">
        <w:r w:rsidR="00261842" w:rsidRPr="00261842">
          <w:rPr>
            <w:rStyle w:val="Hipervnculo"/>
          </w:rPr>
          <w:t>Sostenibilidad</w:t>
        </w:r>
        <w:r w:rsidR="001F0539">
          <w:rPr>
            <w:rStyle w:val="Hipervnculo"/>
          </w:rPr>
          <w:t xml:space="preserve"> </w:t>
        </w:r>
      </w:hyperlink>
      <w:hyperlink r:id="rId12" w:history="1">
        <w:r w:rsidR="00261842" w:rsidRPr="00261842">
          <w:rPr>
            <w:rStyle w:val="Hipervnculo"/>
          </w:rPr>
          <w:t>TCFD</w:t>
        </w:r>
      </w:hyperlink>
    </w:p>
    <w:p w14:paraId="6B890B6A" w14:textId="60713E5F" w:rsidR="00F85116" w:rsidRDefault="00F85116" w:rsidP="00261842">
      <w:pPr>
        <w:jc w:val="both"/>
      </w:pPr>
    </w:p>
    <w:p w14:paraId="73729CCC" w14:textId="0EF63998" w:rsidR="00261842" w:rsidRDefault="00261842" w:rsidP="00261842">
      <w:pPr>
        <w:jc w:val="both"/>
      </w:pPr>
    </w:p>
    <w:p w14:paraId="170C3CE2" w14:textId="1BD60F52" w:rsidR="00261842" w:rsidRDefault="00261842" w:rsidP="00261842">
      <w:pPr>
        <w:jc w:val="both"/>
      </w:pPr>
    </w:p>
    <w:p w14:paraId="7E16908E" w14:textId="42B49AA3" w:rsidR="00261842" w:rsidRDefault="00261842" w:rsidP="00261842">
      <w:pPr>
        <w:jc w:val="both"/>
      </w:pPr>
    </w:p>
    <w:p w14:paraId="259D2D38" w14:textId="19DC7432" w:rsidR="00261842" w:rsidRDefault="00261842" w:rsidP="00261842">
      <w:pPr>
        <w:jc w:val="both"/>
      </w:pPr>
    </w:p>
    <w:p w14:paraId="39625424" w14:textId="0C42C8D7" w:rsidR="00261842" w:rsidRDefault="00261842" w:rsidP="00261842">
      <w:pPr>
        <w:jc w:val="both"/>
      </w:pPr>
    </w:p>
    <w:p w14:paraId="791F98D3" w14:textId="4C36C3BF" w:rsidR="00261842" w:rsidRDefault="00261842" w:rsidP="00261842">
      <w:pPr>
        <w:jc w:val="both"/>
      </w:pPr>
    </w:p>
    <w:p w14:paraId="6C006235" w14:textId="65C473B4" w:rsidR="00261842" w:rsidRDefault="00261842" w:rsidP="00261842">
      <w:pPr>
        <w:jc w:val="both"/>
      </w:pPr>
    </w:p>
    <w:p w14:paraId="3C97A253" w14:textId="203B0D24" w:rsidR="00261842" w:rsidRDefault="00261842" w:rsidP="00261842">
      <w:pPr>
        <w:jc w:val="both"/>
      </w:pPr>
    </w:p>
    <w:p w14:paraId="1473E065" w14:textId="3C742CA7" w:rsidR="00261842" w:rsidRDefault="00261842" w:rsidP="00261842">
      <w:pPr>
        <w:jc w:val="both"/>
      </w:pPr>
    </w:p>
    <w:p w14:paraId="4FE1D1B7" w14:textId="25374B86" w:rsidR="00261842" w:rsidRDefault="00261842" w:rsidP="00261842">
      <w:pPr>
        <w:jc w:val="both"/>
      </w:pPr>
    </w:p>
    <w:p w14:paraId="555918B0" w14:textId="5614FCF1" w:rsidR="00261842" w:rsidRDefault="00261842" w:rsidP="00261842">
      <w:pPr>
        <w:jc w:val="both"/>
      </w:pPr>
    </w:p>
    <w:p w14:paraId="7E387DB1" w14:textId="583AEED4" w:rsidR="00261842" w:rsidRDefault="00261842" w:rsidP="00261842">
      <w:pPr>
        <w:jc w:val="both"/>
      </w:pPr>
    </w:p>
    <w:p w14:paraId="67E91AD9" w14:textId="77777777" w:rsidR="00261842" w:rsidRDefault="00261842" w:rsidP="00261842">
      <w:pPr>
        <w:jc w:val="both"/>
      </w:pPr>
    </w:p>
    <w:p w14:paraId="4DD33663" w14:textId="3ADA5DC4" w:rsidR="00261842" w:rsidRDefault="00261842" w:rsidP="00261842">
      <w:pPr>
        <w:jc w:val="both"/>
      </w:pPr>
    </w:p>
    <w:p w14:paraId="664BEDF6" w14:textId="6D4841AE" w:rsidR="00261842" w:rsidRDefault="00261842" w:rsidP="00261842">
      <w:pPr>
        <w:jc w:val="both"/>
      </w:pPr>
    </w:p>
    <w:p w14:paraId="080C966B" w14:textId="65F3310E" w:rsidR="0012241F" w:rsidRDefault="0012241F" w:rsidP="00261842">
      <w:pPr>
        <w:jc w:val="both"/>
      </w:pPr>
    </w:p>
    <w:p w14:paraId="3DADCA0A" w14:textId="4F2CC74F" w:rsidR="0012241F" w:rsidRDefault="0012241F" w:rsidP="00261842">
      <w:pPr>
        <w:jc w:val="both"/>
      </w:pPr>
    </w:p>
    <w:p w14:paraId="10826BD1" w14:textId="6A18C820" w:rsidR="00261842" w:rsidRDefault="00261842" w:rsidP="00261842">
      <w:pPr>
        <w:jc w:val="both"/>
      </w:pPr>
    </w:p>
    <w:p w14:paraId="5C820802" w14:textId="0A065E4F" w:rsidR="00261842" w:rsidRPr="00B234CB" w:rsidRDefault="00261842" w:rsidP="00261842">
      <w:pPr>
        <w:jc w:val="both"/>
        <w:rPr>
          <w:rFonts w:ascii="Arial Nova Cond" w:hAnsi="Arial Nova Cond"/>
        </w:rPr>
      </w:pPr>
      <w:r w:rsidRPr="00B234CB">
        <w:rPr>
          <w:rFonts w:ascii="Arial Nova Cond" w:hAnsi="Arial Nova Cond"/>
        </w:rPr>
        <w:lastRenderedPageBreak/>
        <w:t xml:space="preserve">El Gobierno avanza con las directrices de inversión sostenible Made in </w:t>
      </w:r>
      <w:r w:rsidR="00B234CB" w:rsidRPr="00B234CB">
        <w:rPr>
          <w:rFonts w:ascii="Arial Nova Cond" w:hAnsi="Arial Nova Cond"/>
        </w:rPr>
        <w:t>Canadá</w:t>
      </w:r>
      <w:r w:rsidRPr="00B234CB">
        <w:rPr>
          <w:rFonts w:ascii="Arial Nova Cond" w:hAnsi="Arial Nova Cond"/>
        </w:rPr>
        <w:t xml:space="preserve"> y la divulgación obligatoria de información climática para acelerar el progreso hacia emisiones netas cero para 2050</w:t>
      </w:r>
    </w:p>
    <w:p w14:paraId="0371A469" w14:textId="77777777" w:rsidR="00261842" w:rsidRPr="00B234CB" w:rsidRDefault="00261842" w:rsidP="00261842">
      <w:pPr>
        <w:jc w:val="both"/>
        <w:rPr>
          <w:rFonts w:ascii="Arial Nova Cond" w:hAnsi="Arial Nova Cond"/>
        </w:rPr>
      </w:pPr>
      <w:r w:rsidRPr="00B234CB">
        <w:rPr>
          <w:rFonts w:ascii="Arial Nova Cond" w:hAnsi="Arial Nova Cond"/>
        </w:rPr>
        <w:t>9 de octubre de 2024 - Toronto, Ontario - Departamento de Finanzas de Canadá</w:t>
      </w:r>
    </w:p>
    <w:p w14:paraId="39BCFDEE" w14:textId="77777777" w:rsidR="00261842" w:rsidRPr="00261842" w:rsidRDefault="00261842" w:rsidP="00261842">
      <w:pPr>
        <w:jc w:val="both"/>
      </w:pPr>
      <w:r w:rsidRPr="00261842">
        <w:t>El gobierno federal está liderando el mundo con un audaz plan climático para hacer crecer nuestra economía y alcanzar emisiones netas cero para 2050. Alcanzar este objetivo requerirá entre $125 mil millones y $140 mil millones en inversiones en Canadá cada año. Como piedra angular del plan económico de Canadá para lograr emisiones netas cero, el paquete de $93 mil millones de créditos fiscales económicos importantes del gobierno federal ya está disponible para ayudar a atraer esta inversión.</w:t>
      </w:r>
    </w:p>
    <w:p w14:paraId="226654A3" w14:textId="66014031" w:rsidR="00261842" w:rsidRPr="00261842" w:rsidRDefault="00261842" w:rsidP="00261842">
      <w:pPr>
        <w:jc w:val="both"/>
      </w:pPr>
      <w:r w:rsidRPr="00261842">
        <w:t>Más allá de los incentivos para atraer inversiones a Canadá, los inversores necesitan directrices sólidas y transparentes para clasificar de manera creíble sus inversiones en la economía limpia en el camino hacia el cero neto. Por eso, en la </w:t>
      </w:r>
      <w:r w:rsidRPr="00261842">
        <w:rPr>
          <w:i/>
          <w:iCs/>
        </w:rPr>
        <w:t>Declaración Económica de Otoño de 2023</w:t>
      </w:r>
      <w:r w:rsidRPr="00261842">
        <w:t> y el Presupuesto 2024</w:t>
      </w:r>
      <w:r w:rsidRPr="00261842">
        <w:rPr>
          <w:i/>
          <w:iCs/>
        </w:rPr>
        <w:t>,</w:t>
      </w:r>
      <w:r w:rsidR="00B234CB">
        <w:rPr>
          <w:i/>
          <w:iCs/>
        </w:rPr>
        <w:t xml:space="preserve"> </w:t>
      </w:r>
      <w:r w:rsidRPr="00261842">
        <w:t>el gobierno se comprometió a desarrollar una taxonomía de finanzas sostenibles que identifique las inversiones “verdes” y “de transición” y a ampliar la cobertura de los requisitos obligatorios de divulgación climática a las empresas privadas. Avanzar con estos compromisos es esencial para la certidumbre del mercado, para que Canadá desbloquee las inversiones de cero neto y para mantener el objetivo climático de París de limitar el calentamiento global a 1,5°C por encima de los niveles preindustriales.</w:t>
      </w:r>
    </w:p>
    <w:p w14:paraId="4AC9B540" w14:textId="2C5B92DA" w:rsidR="00261842" w:rsidRPr="00261842" w:rsidRDefault="00261842" w:rsidP="00261842">
      <w:pPr>
        <w:jc w:val="both"/>
      </w:pPr>
      <w:r w:rsidRPr="00261842">
        <w:t xml:space="preserve">Hoy en Toronto, en la conferencia Principios para la Inversión Responsable, la Honorable Chrystia Freeland, Viceprimera </w:t>
      </w:r>
      <w:r w:rsidR="00B234CB" w:rsidRPr="00261842">
        <w:t>ministra</w:t>
      </w:r>
      <w:r w:rsidRPr="00261842">
        <w:t xml:space="preserve"> y </w:t>
      </w:r>
      <w:r w:rsidR="00B234CB" w:rsidRPr="00261842">
        <w:t>ministra</w:t>
      </w:r>
      <w:r w:rsidRPr="00261842">
        <w:t xml:space="preserve"> de Finanzas, anunció:</w:t>
      </w:r>
    </w:p>
    <w:p w14:paraId="373B2F64" w14:textId="77777777" w:rsidR="00261842" w:rsidRPr="00261842" w:rsidRDefault="00261842" w:rsidP="00261842">
      <w:pPr>
        <w:numPr>
          <w:ilvl w:val="0"/>
          <w:numId w:val="1"/>
        </w:numPr>
        <w:jc w:val="both"/>
      </w:pPr>
      <w:r w:rsidRPr="00261842">
        <w:t>Un plan para implementar directrices de inversión sostenibles hechas en Canadá; y</w:t>
      </w:r>
    </w:p>
    <w:p w14:paraId="7495F2AE" w14:textId="77777777" w:rsidR="00261842" w:rsidRPr="00261842" w:rsidRDefault="00261842" w:rsidP="00261842">
      <w:pPr>
        <w:numPr>
          <w:ilvl w:val="0"/>
          <w:numId w:val="1"/>
        </w:numPr>
        <w:jc w:val="both"/>
      </w:pPr>
      <w:r w:rsidRPr="00261842">
        <w:t>Divulgaciones financieras obligatorias relacionadas con el clima para grandes empresas privadas constituidas a nivel federal.</w:t>
      </w:r>
    </w:p>
    <w:p w14:paraId="378BF7DF" w14:textId="71EE5F24" w:rsidR="00261842" w:rsidRPr="00261842" w:rsidRDefault="00261842" w:rsidP="00261842">
      <w:pPr>
        <w:jc w:val="both"/>
      </w:pPr>
      <w:r w:rsidRPr="00261842">
        <w:t>Las directrices de inversión sostenible Made-in-</w:t>
      </w:r>
      <w:r w:rsidR="00B234CB" w:rsidRPr="00261842">
        <w:t>Canadá</w:t>
      </w:r>
      <w:r w:rsidRPr="00261842">
        <w:t xml:space="preserve"> se convertirán en una herramienta voluntaria importante para los inversores, prestamistas y otras partes interesadas que navegan por la carrera mundial hacia el cero neto al identificar de manera creíble las actividades económicas "verdes" y "de transición". Estas directrices proporcionarán la certeza necesaria para acelerar el flujo de capital privado hacia actividades sostenibles en toda la economía canadiense. Desde la construcción de baterías para vehículos eléctricos hasta la generación de energía limpia y la descarbonización de las industrias pesadas con alto contenido de emisiones, estas directrices identificarán las actividades que generan empleo de una manera que sea científicamente creíble y esté alineada con la limitación del aumento de la temperatura global a 1,5 °C por encima de los niveles preindustriales. La taxonomía canadiense será desarrollada y regida por una o más organizaciones externas de terceros.</w:t>
      </w:r>
    </w:p>
    <w:p w14:paraId="0FB0E6D4" w14:textId="77777777" w:rsidR="00261842" w:rsidRPr="00261842" w:rsidRDefault="00261842" w:rsidP="00261842">
      <w:pPr>
        <w:jc w:val="both"/>
      </w:pPr>
      <w:r w:rsidRPr="00261842">
        <w:t xml:space="preserve">Para atraer más capital privado a las corporaciones más grandes de Canadá y garantizar que las empresas canadienses puedan seguir compitiendo eficazmente mientras el mundo avanza hacia el objetivo de cero emisiones netas, el gobierno también está avanzando con la exigencia de divulgaciones financieras relacionadas con el clima para las grandes empresas privadas constituidas a nivel federal. Estas divulgaciones ayudarán a los inversores a comprender mejor cómo las grandes empresas piensan y gestionan los riesgos relacionados con el cambio climático, asegurando que la </w:t>
      </w:r>
      <w:r w:rsidRPr="00261842">
        <w:lastRenderedPageBreak/>
        <w:t>asignación de capital se alinee con las realidades de una economía de cero emisiones netas. En concreto, el gobierno tiene la intención de presentar modificaciones a la </w:t>
      </w:r>
      <w:r w:rsidRPr="00261842">
        <w:rPr>
          <w:i/>
          <w:iCs/>
        </w:rPr>
        <w:t>Ley de Sociedades Comerciales de Canadá</w:t>
      </w:r>
      <w:r w:rsidRPr="00261842">
        <w:t> que exigirán estas divulgaciones. El gobierno iniciará un proceso reglamentario para determinar el contenido de estos requisitos de divulgación y el tamaño de las corporaciones federales privadas que estarían sujetas a ellos. Como las pequeñas y medianas empresas no estarán sujetas a los requisitos, el gobierno está considerando formas de alentar a esas empresas a publicar voluntariamente divulgaciones climáticas, si así lo desean.</w:t>
      </w:r>
    </w:p>
    <w:p w14:paraId="10940B11" w14:textId="77777777" w:rsidR="00261842" w:rsidRPr="00261842" w:rsidRDefault="00261842" w:rsidP="00261842">
      <w:pPr>
        <w:jc w:val="both"/>
      </w:pPr>
      <w:r w:rsidRPr="00261842">
        <w:t>El gobierno federal está dispuesto a trabajar con socios provinciales y territoriales para garantizar una amplia cobertura de divulgación en toda la economía canadiense. El gobierno procurará armonizar sus regulaciones con las que los reguladores de valores exigirán a las empresas públicas. Se darán a conocer más detalles a su debido tiempo.</w:t>
      </w:r>
    </w:p>
    <w:p w14:paraId="1A79398F" w14:textId="77777777" w:rsidR="00261842" w:rsidRPr="00261842" w:rsidRDefault="00261842" w:rsidP="00261842">
      <w:pPr>
        <w:jc w:val="both"/>
      </w:pPr>
      <w:r w:rsidRPr="00261842">
        <w:t>Estas dos iniciativas de financiación sostenible movilizarán más capital del sector privado hacia actividades esenciales para construir una economía de cero emisiones netas. Un mayor capital del sector privado permitirá a las empresas hacer crecer la economía, crear más empleos bien remunerados para los canadienses y aumentar su resiliencia frente a los riesgos que plantea el cambio climático.</w:t>
      </w:r>
    </w:p>
    <w:p w14:paraId="37A1E723" w14:textId="77777777" w:rsidR="00261842" w:rsidRPr="00261842" w:rsidRDefault="00261842" w:rsidP="00261842">
      <w:pPr>
        <w:jc w:val="both"/>
      </w:pPr>
      <w:r w:rsidRPr="00261842">
        <w:t>Además de estos anuncios, hoy el gobierno federal emitió con éxito 2.000 millones de dólares adicionales en bonos verdes, a través de la reapertura del segundo bono verde de Canadá emitido en febrero.</w:t>
      </w:r>
    </w:p>
    <w:p w14:paraId="592CE86E" w14:textId="77777777" w:rsidR="00261842" w:rsidRPr="00261842" w:rsidRDefault="00261842" w:rsidP="00261842">
      <w:pPr>
        <w:jc w:val="both"/>
      </w:pPr>
      <w:r w:rsidRPr="00261842">
        <w:t>Juntos, el progreso de hoy tiene como objetivo construir una floreciente industria financiera sostenible canadiense y enviar una señal clara a los directorios corporativos y a los accionistas, en el país y en todo el mundo, de que Canadá es su socio de confianza para poner el capital privado a trabajar en la carrera hacia el cero neto.</w:t>
      </w:r>
    </w:p>
    <w:p w14:paraId="2ADD9F13" w14:textId="77777777" w:rsidR="00261842" w:rsidRPr="00261842" w:rsidRDefault="00261842" w:rsidP="00261842">
      <w:pPr>
        <w:jc w:val="both"/>
        <w:rPr>
          <w:b/>
          <w:bCs/>
        </w:rPr>
      </w:pPr>
      <w:r w:rsidRPr="00261842">
        <w:rPr>
          <w:b/>
          <w:bCs/>
        </w:rPr>
        <w:t>Citas</w:t>
      </w:r>
    </w:p>
    <w:p w14:paraId="132C70F3" w14:textId="312AF32C" w:rsidR="00261842" w:rsidRPr="00261842" w:rsidRDefault="00261842" w:rsidP="00261842">
      <w:pPr>
        <w:jc w:val="both"/>
      </w:pPr>
      <w:r w:rsidRPr="00261842">
        <w:t xml:space="preserve">“En el siglo XXI, una economía competitiva es una economía de cero emisiones netas. Estamos aprovechando las ventajas económicas de Canadá para atraer inversiones y garantizar que los trabajadores canadienses se beneficien de la parte que les corresponde en la carrera mundial hacia las emisiones netas cero. La publicación hoy de una guía para la inversión sostenible Made in </w:t>
      </w:r>
      <w:r w:rsidR="00B234CB" w:rsidRPr="00261842">
        <w:t>Canadá</w:t>
      </w:r>
      <w:r w:rsidRPr="00261842">
        <w:t xml:space="preserve"> y la divulgación de información climática por parte de las grandes empresas acelerará el flujo de capital privado hacia Canadá, lo que a su vez hará crecer nuestra economía, creará buenos empleos y avanzará en nuestro progreso hacia las emisiones netas cero para 2050”.</w:t>
      </w:r>
    </w:p>
    <w:p w14:paraId="2AF5D3F9" w14:textId="51BF4C4D" w:rsidR="00261842" w:rsidRPr="00261842" w:rsidRDefault="00261842" w:rsidP="00261842">
      <w:pPr>
        <w:jc w:val="both"/>
      </w:pPr>
      <w:r w:rsidRPr="00261842">
        <w:rPr>
          <w:i/>
          <w:iCs/>
        </w:rPr>
        <w:t xml:space="preserve">La Honorable Chrystia Freeland, Viceprimera </w:t>
      </w:r>
      <w:r w:rsidR="00B234CB" w:rsidRPr="00261842">
        <w:rPr>
          <w:i/>
          <w:iCs/>
        </w:rPr>
        <w:t>ministra</w:t>
      </w:r>
      <w:r w:rsidRPr="00261842">
        <w:rPr>
          <w:i/>
          <w:iCs/>
        </w:rPr>
        <w:t xml:space="preserve"> y </w:t>
      </w:r>
      <w:r w:rsidR="00B234CB" w:rsidRPr="00261842">
        <w:rPr>
          <w:i/>
          <w:iCs/>
        </w:rPr>
        <w:t>ministra</w:t>
      </w:r>
      <w:r w:rsidRPr="00261842">
        <w:rPr>
          <w:i/>
          <w:iCs/>
        </w:rPr>
        <w:t xml:space="preserve"> de Finanzas</w:t>
      </w:r>
    </w:p>
    <w:p w14:paraId="33D1CC0D" w14:textId="77777777" w:rsidR="00261842" w:rsidRPr="00261842" w:rsidRDefault="00261842" w:rsidP="00261842">
      <w:pPr>
        <w:jc w:val="both"/>
      </w:pPr>
      <w:r w:rsidRPr="00261842">
        <w:t>“La creación de una economía más limpia no es sólo un imperativo medioambiental, sino también una importante oportunidad económica. El desarrollo de una taxonomía de inversión sostenible, junto con una mayor transparencia en la divulgación de información sobre el clima, supone un paso importante para Canadá en el camino hacia esa economía más limpia. Estas iniciativas ayudarán a movilizar los flujos financieros necesarios del sector privado para crear una economía más limpia y darán a los inversores que buscan la opción sostenible la dirección clara que buscan”.</w:t>
      </w:r>
    </w:p>
    <w:p w14:paraId="128DEB56" w14:textId="76ED2DE4" w:rsidR="00261842" w:rsidRPr="00261842" w:rsidRDefault="00261842" w:rsidP="00261842">
      <w:pPr>
        <w:jc w:val="both"/>
      </w:pPr>
      <w:r w:rsidRPr="00261842">
        <w:rPr>
          <w:i/>
          <w:iCs/>
        </w:rPr>
        <w:t xml:space="preserve">El Honorable Steven Guilbeault, </w:t>
      </w:r>
      <w:r w:rsidR="00B234CB" w:rsidRPr="00261842">
        <w:rPr>
          <w:i/>
          <w:iCs/>
        </w:rPr>
        <w:t>ministro</w:t>
      </w:r>
      <w:r w:rsidRPr="00261842">
        <w:rPr>
          <w:i/>
          <w:iCs/>
        </w:rPr>
        <w:t xml:space="preserve"> de Medio Ambiente y Cambio Climático</w:t>
      </w:r>
    </w:p>
    <w:p w14:paraId="698A0932" w14:textId="77777777" w:rsidR="00261842" w:rsidRPr="00261842" w:rsidRDefault="00261842" w:rsidP="00261842">
      <w:pPr>
        <w:jc w:val="both"/>
      </w:pPr>
      <w:r w:rsidRPr="00261842">
        <w:lastRenderedPageBreak/>
        <w:t>“Los trabajadores y las empresas canadienses ya están atrayendo inversiones históricas en áreas como la energía limpia, los minerales críticos y los vehículos eléctricos, y están viendo los beneficios asociados en términos de creación de empleo y crecimiento económico. Con los cambios anunciados hoy, los inversores tendrán más certeza de que las empresas están tomando medidas reales y serias para abordar la crisis climática y reducir las emisiones, al tiempo que construyen una economía fuerte”.</w:t>
      </w:r>
    </w:p>
    <w:p w14:paraId="6F8FC3E3" w14:textId="1EA43472" w:rsidR="00261842" w:rsidRPr="00261842" w:rsidRDefault="00261842" w:rsidP="00261842">
      <w:pPr>
        <w:jc w:val="both"/>
      </w:pPr>
      <w:r w:rsidRPr="00261842">
        <w:rPr>
          <w:i/>
          <w:iCs/>
        </w:rPr>
        <w:t xml:space="preserve">El Honorable Jonathan Wilkinson, </w:t>
      </w:r>
      <w:r w:rsidR="00B234CB" w:rsidRPr="00261842">
        <w:rPr>
          <w:i/>
          <w:iCs/>
        </w:rPr>
        <w:t>ministro</w:t>
      </w:r>
      <w:r w:rsidRPr="00261842">
        <w:rPr>
          <w:i/>
          <w:iCs/>
        </w:rPr>
        <w:t xml:space="preserve"> de Energía y Recursos Naturales</w:t>
      </w:r>
    </w:p>
    <w:p w14:paraId="795ADDE9" w14:textId="77777777" w:rsidR="00261842" w:rsidRPr="00261842" w:rsidRDefault="00261842" w:rsidP="00261842">
      <w:pPr>
        <w:jc w:val="both"/>
      </w:pPr>
      <w:r w:rsidRPr="00261842">
        <w:t>“La lucha contra el cambio climático y la protección de la economía y de los canadienses frente a los costes de la inacción frente al cambio climático son prioridades para nuestro gobierno. Es importante enviar una señal clara a las empresas y organizaciones canadienses de que es fundamental integrar los riesgos y las oportunidades relacionados con el clima en la cultura corporativa y en la toma de decisiones, y eso es lo que estamos haciendo”.</w:t>
      </w:r>
    </w:p>
    <w:p w14:paraId="2E003CFD" w14:textId="0E3D5236" w:rsidR="00261842" w:rsidRPr="00261842" w:rsidRDefault="00261842" w:rsidP="00261842">
      <w:pPr>
        <w:jc w:val="both"/>
      </w:pPr>
      <w:r w:rsidRPr="00261842">
        <w:rPr>
          <w:i/>
          <w:iCs/>
        </w:rPr>
        <w:t xml:space="preserve">El Honorable François-Philippe Champagne, </w:t>
      </w:r>
      <w:r w:rsidR="00B234CB" w:rsidRPr="00261842">
        <w:rPr>
          <w:i/>
          <w:iCs/>
        </w:rPr>
        <w:t>ministro</w:t>
      </w:r>
      <w:r w:rsidRPr="00261842">
        <w:rPr>
          <w:i/>
          <w:iCs/>
        </w:rPr>
        <w:t xml:space="preserve"> de Innovación, Ciencia e Industria</w:t>
      </w:r>
    </w:p>
    <w:p w14:paraId="5A308DCD" w14:textId="77777777" w:rsidR="00261842" w:rsidRPr="00261842" w:rsidRDefault="00261842" w:rsidP="00261842">
      <w:pPr>
        <w:jc w:val="both"/>
      </w:pPr>
      <w:r w:rsidRPr="00261842">
        <w:t>“La creación de un sistema financiero sostenible y competitivo a nivel mundial es esencial para el futuro económico de Canadá. Para poder competir tanto en el país como en el extranjero, estamos avanzando con directrices de inversión sostenible y divulgaciones climáticas obligatorias para ayudar a brindar credibilidad, responsabilidad y transparencia en el mercado. Estas son condiciones esenciales para que los inversores y las empresas llenen el vacío de inversión necesario para enfrentar el desafío climático y, al mismo tiempo, aprovechar las oportunidades generacionales para una prosperidad limpia”.</w:t>
      </w:r>
    </w:p>
    <w:p w14:paraId="13BCCDCA" w14:textId="2883D5FF" w:rsidR="00261842" w:rsidRPr="00261842" w:rsidRDefault="00261842" w:rsidP="00261842">
      <w:pPr>
        <w:jc w:val="both"/>
      </w:pPr>
      <w:r w:rsidRPr="00261842">
        <w:rPr>
          <w:i/>
          <w:iCs/>
        </w:rPr>
        <w:t xml:space="preserve">Ryan Turnbull, </w:t>
      </w:r>
      <w:r w:rsidR="00B234CB" w:rsidRPr="00261842">
        <w:rPr>
          <w:i/>
          <w:iCs/>
        </w:rPr>
        <w:t>secretario</w:t>
      </w:r>
      <w:r w:rsidRPr="00261842">
        <w:rPr>
          <w:i/>
          <w:iCs/>
        </w:rPr>
        <w:t xml:space="preserve"> Parlamentario del Viceprimer </w:t>
      </w:r>
      <w:r w:rsidR="00B234CB" w:rsidRPr="00261842">
        <w:rPr>
          <w:i/>
          <w:iCs/>
        </w:rPr>
        <w:t>ministro</w:t>
      </w:r>
      <w:r w:rsidRPr="00261842">
        <w:rPr>
          <w:i/>
          <w:iCs/>
        </w:rPr>
        <w:t xml:space="preserve"> y </w:t>
      </w:r>
      <w:r w:rsidR="00B234CB" w:rsidRPr="00261842">
        <w:rPr>
          <w:i/>
          <w:iCs/>
        </w:rPr>
        <w:t>ministro</w:t>
      </w:r>
      <w:r w:rsidRPr="00261842">
        <w:rPr>
          <w:i/>
          <w:iCs/>
        </w:rPr>
        <w:t xml:space="preserve"> de Finanzas y del </w:t>
      </w:r>
      <w:r w:rsidR="00B234CB" w:rsidRPr="00261842">
        <w:rPr>
          <w:i/>
          <w:iCs/>
        </w:rPr>
        <w:t>ministro</w:t>
      </w:r>
      <w:r w:rsidRPr="00261842">
        <w:rPr>
          <w:i/>
          <w:iCs/>
        </w:rPr>
        <w:t xml:space="preserve"> de Innovación, Ciencia e Industria</w:t>
      </w:r>
    </w:p>
    <w:p w14:paraId="4D2F6977" w14:textId="77777777" w:rsidR="00261842" w:rsidRPr="00261842" w:rsidRDefault="00261842" w:rsidP="00261842">
      <w:pPr>
        <w:jc w:val="both"/>
        <w:rPr>
          <w:b/>
          <w:bCs/>
        </w:rPr>
      </w:pPr>
      <w:r w:rsidRPr="00261842">
        <w:rPr>
          <w:b/>
          <w:bCs/>
        </w:rPr>
        <w:t>Datos breves</w:t>
      </w:r>
    </w:p>
    <w:p w14:paraId="2EEDE514" w14:textId="6DF48950" w:rsidR="00261842" w:rsidRPr="00261842" w:rsidRDefault="0012241F" w:rsidP="00261842">
      <w:pPr>
        <w:numPr>
          <w:ilvl w:val="0"/>
          <w:numId w:val="2"/>
        </w:numPr>
        <w:jc w:val="both"/>
      </w:pPr>
      <w:hyperlink r:id="rId13" w:anchor=":~:text=Made%2Din%2DCanada%20Sustainable%20Investment%20Guidelines" w:history="1">
        <w:r w:rsidR="00261842" w:rsidRPr="00261842">
          <w:rPr>
            <w:rStyle w:val="Hipervnculo"/>
          </w:rPr>
          <w:t>En el Presupuesto 2024</w:t>
        </w:r>
        <w:r w:rsidR="00261842" w:rsidRPr="00261842">
          <w:rPr>
            <w:rStyle w:val="Hipervnculo"/>
            <w:i/>
            <w:iCs/>
          </w:rPr>
          <w:t>,</w:t>
        </w:r>
        <w:r w:rsidR="00B234CB">
          <w:rPr>
            <w:rStyle w:val="Hipervnculo"/>
            <w:i/>
            <w:iCs/>
          </w:rPr>
          <w:t xml:space="preserve"> </w:t>
        </w:r>
        <w:r w:rsidR="00261842" w:rsidRPr="00261842">
          <w:rPr>
            <w:rStyle w:val="Hipervnculo"/>
          </w:rPr>
          <w:t>el gobierno federal se comprometió</w:t>
        </w:r>
      </w:hyperlink>
      <w:r w:rsidR="00B234CB">
        <w:t xml:space="preserve"> </w:t>
      </w:r>
      <w:r w:rsidR="00261842" w:rsidRPr="00261842">
        <w:t>a proporcionar una actualización para fines de 2024 sobre el desarrollo de las directrices de inversión sostenible Made-in-</w:t>
      </w:r>
      <w:r w:rsidR="00B234CB" w:rsidRPr="00261842">
        <w:t>Canadá</w:t>
      </w:r>
      <w:r w:rsidR="00261842" w:rsidRPr="00261842">
        <w:t>, en reconocimiento de que promover la inversión climática creíble y combatir el lavado de imagen son fundamentales para fomentar la confianza de los inversores y movilizar la inversión privada que Canadá necesita para lograr cero emisiones netas para 2050.</w:t>
      </w:r>
    </w:p>
    <w:p w14:paraId="777A0ADA" w14:textId="56B16174" w:rsidR="00261842" w:rsidRPr="00261842" w:rsidRDefault="0012241F" w:rsidP="00261842">
      <w:pPr>
        <w:numPr>
          <w:ilvl w:val="0"/>
          <w:numId w:val="2"/>
        </w:numPr>
        <w:jc w:val="both"/>
      </w:pPr>
      <w:hyperlink r:id="rId14" w:anchor=":~:text=in%20Budget%202024.-,Sustainable%20Finance%20Action,-Canada%20is%20a" w:history="1">
        <w:r w:rsidR="00261842" w:rsidRPr="00261842">
          <w:rPr>
            <w:rStyle w:val="Hipervnculo"/>
          </w:rPr>
          <w:t>En la</w:t>
        </w:r>
        <w:r w:rsidR="00B234CB">
          <w:rPr>
            <w:rStyle w:val="Hipervnculo"/>
          </w:rPr>
          <w:t xml:space="preserve"> </w:t>
        </w:r>
        <w:r w:rsidR="00261842" w:rsidRPr="00261842">
          <w:rPr>
            <w:rStyle w:val="Hipervnculo"/>
            <w:i/>
            <w:iCs/>
          </w:rPr>
          <w:t>Declaración económica de otoño de 2023,</w:t>
        </w:r>
        <w:r w:rsidR="00261842" w:rsidRPr="00261842">
          <w:rPr>
            <w:rStyle w:val="Hipervnculo"/>
          </w:rPr>
          <w:t> el gobierno federal se comprometió</w:t>
        </w:r>
      </w:hyperlink>
      <w:r w:rsidR="00B234CB">
        <w:t xml:space="preserve"> </w:t>
      </w:r>
      <w:r w:rsidR="00261842" w:rsidRPr="00261842">
        <w:t xml:space="preserve">a desarrollar opciones para hacer obligatoria la divulgación de información climática, como parte de la expansión de la divulgación climática obligatoria en toda la economía canadiense. También anunció por primera vez el compromiso del gobierno de desarrollar una taxonomía Made in </w:t>
      </w:r>
      <w:r w:rsidR="00B234CB" w:rsidRPr="00261842">
        <w:t>Canadá</w:t>
      </w:r>
      <w:r w:rsidR="00261842" w:rsidRPr="00261842">
        <w:t>.</w:t>
      </w:r>
    </w:p>
    <w:p w14:paraId="1FFF3E31" w14:textId="77B56E30" w:rsidR="00261842" w:rsidRPr="00261842" w:rsidRDefault="00261842" w:rsidP="00261842">
      <w:pPr>
        <w:numPr>
          <w:ilvl w:val="0"/>
          <w:numId w:val="2"/>
        </w:numPr>
        <w:jc w:val="both"/>
      </w:pPr>
      <w:r w:rsidRPr="00261842">
        <w:t>El desarrollo de una taxonomía de finanzas sustentables Made-in-</w:t>
      </w:r>
      <w:r w:rsidR="00B234CB" w:rsidRPr="00261842">
        <w:t>Canadá</w:t>
      </w:r>
      <w:r w:rsidRPr="00261842">
        <w:t xml:space="preserve"> y de regulaciones para exigir divulgaciones climáticas a las grandes empresas se basa en el importante trabajo realizado por el Consejo de Acción de Finanzas Sustentables.</w:t>
      </w:r>
    </w:p>
    <w:p w14:paraId="1E018DFB" w14:textId="2EFA0E47" w:rsidR="00261842" w:rsidRPr="00261842" w:rsidRDefault="00261842" w:rsidP="00B234CB">
      <w:pPr>
        <w:numPr>
          <w:ilvl w:val="0"/>
          <w:numId w:val="2"/>
        </w:numPr>
        <w:spacing w:after="0"/>
        <w:jc w:val="both"/>
      </w:pPr>
      <w:r w:rsidRPr="00261842">
        <w:lastRenderedPageBreak/>
        <w:t>El gobierno federal está invirtiendo más de 160 mil millones de dólares en su plan económico de cero emisiones netas, lo que incluye un</w:t>
      </w:r>
      <w:r w:rsidR="00B234CB">
        <w:t xml:space="preserve"> </w:t>
      </w:r>
      <w:r w:rsidRPr="00261842">
        <w:rPr>
          <w:b/>
          <w:bCs/>
        </w:rPr>
        <w:t>conjunto de créditos fiscales por 93 mil millones de dólares para importantes inversiones económicas</w:t>
      </w:r>
      <w:r w:rsidR="00B234CB">
        <w:t xml:space="preserve"> </w:t>
      </w:r>
      <w:r w:rsidRPr="00261842">
        <w:t>en:</w:t>
      </w:r>
    </w:p>
    <w:p w14:paraId="3CB0A828" w14:textId="77777777" w:rsidR="00261842" w:rsidRPr="00261842" w:rsidRDefault="00261842" w:rsidP="00B234CB">
      <w:pPr>
        <w:numPr>
          <w:ilvl w:val="1"/>
          <w:numId w:val="2"/>
        </w:numPr>
        <w:spacing w:after="0"/>
        <w:jc w:val="both"/>
      </w:pPr>
      <w:r w:rsidRPr="00261842">
        <w:t>Captura, utilización y almacenamiento de carbono;</w:t>
      </w:r>
    </w:p>
    <w:p w14:paraId="602FD56E" w14:textId="77777777" w:rsidR="00261842" w:rsidRPr="00261842" w:rsidRDefault="00261842" w:rsidP="00B234CB">
      <w:pPr>
        <w:numPr>
          <w:ilvl w:val="1"/>
          <w:numId w:val="2"/>
        </w:numPr>
        <w:spacing w:after="0"/>
        <w:jc w:val="both"/>
      </w:pPr>
      <w:r w:rsidRPr="00261842">
        <w:t>Tecnología limpia;</w:t>
      </w:r>
    </w:p>
    <w:p w14:paraId="261BC111" w14:textId="77777777" w:rsidR="00261842" w:rsidRPr="00261842" w:rsidRDefault="00261842" w:rsidP="00B234CB">
      <w:pPr>
        <w:numPr>
          <w:ilvl w:val="1"/>
          <w:numId w:val="2"/>
        </w:numPr>
        <w:spacing w:after="0"/>
        <w:jc w:val="both"/>
      </w:pPr>
      <w:r w:rsidRPr="00261842">
        <w:t>Hidrógeno limpio;</w:t>
      </w:r>
    </w:p>
    <w:p w14:paraId="11CA766E" w14:textId="77777777" w:rsidR="00261842" w:rsidRPr="00261842" w:rsidRDefault="00261842" w:rsidP="00B234CB">
      <w:pPr>
        <w:numPr>
          <w:ilvl w:val="1"/>
          <w:numId w:val="2"/>
        </w:numPr>
        <w:spacing w:after="0"/>
        <w:jc w:val="both"/>
      </w:pPr>
      <w:r w:rsidRPr="00261842">
        <w:t>Fabricación de tecnología limpia;</w:t>
      </w:r>
    </w:p>
    <w:p w14:paraId="1F2E17DB" w14:textId="77777777" w:rsidR="00261842" w:rsidRPr="00261842" w:rsidRDefault="00261842" w:rsidP="00B234CB">
      <w:pPr>
        <w:numPr>
          <w:ilvl w:val="1"/>
          <w:numId w:val="2"/>
        </w:numPr>
        <w:spacing w:after="0"/>
        <w:jc w:val="both"/>
      </w:pPr>
      <w:r w:rsidRPr="00261842">
        <w:t>Electricidad limpia; y,</w:t>
      </w:r>
    </w:p>
    <w:p w14:paraId="4655E162" w14:textId="77777777" w:rsidR="00261842" w:rsidRPr="00261842" w:rsidRDefault="00261842" w:rsidP="00261842">
      <w:pPr>
        <w:numPr>
          <w:ilvl w:val="1"/>
          <w:numId w:val="2"/>
        </w:numPr>
        <w:jc w:val="both"/>
      </w:pPr>
      <w:r w:rsidRPr="00261842">
        <w:t>Cadenas de suministro de vehículos eléctricos (VE).</w:t>
      </w:r>
    </w:p>
    <w:p w14:paraId="67B4489D" w14:textId="77777777" w:rsidR="00261842" w:rsidRPr="00261842" w:rsidRDefault="00261842" w:rsidP="00261842">
      <w:pPr>
        <w:numPr>
          <w:ilvl w:val="0"/>
          <w:numId w:val="2"/>
        </w:numPr>
        <w:jc w:val="both"/>
      </w:pPr>
      <w:r w:rsidRPr="00261842">
        <w:t>Además de los créditos fiscales para las principales inversiones económicas, el gobierno federal está atrayendo inversiones del sector privado con emisiones netas cero mediante:</w:t>
      </w:r>
    </w:p>
    <w:p w14:paraId="0A528AFA" w14:textId="45B367D1" w:rsidR="00261842" w:rsidRPr="00261842" w:rsidRDefault="00261842" w:rsidP="00261842">
      <w:pPr>
        <w:numPr>
          <w:ilvl w:val="1"/>
          <w:numId w:val="2"/>
        </w:numPr>
        <w:jc w:val="both"/>
      </w:pPr>
      <w:r w:rsidRPr="00261842">
        <w:t>Catalizar la inversión privada en proyectos, tecnologías, empresas y cadenas de suministro con bajas emisiones de carbono a través de</w:t>
      </w:r>
      <w:r w:rsidR="00B234CB">
        <w:t xml:space="preserve">l </w:t>
      </w:r>
      <w:r w:rsidRPr="00261842">
        <w:rPr>
          <w:b/>
          <w:bCs/>
        </w:rPr>
        <w:t>Fondo de Crecimiento de Canadá de 15 mil millones de dólares</w:t>
      </w:r>
      <w:r w:rsidRPr="00261842">
        <w:t>, que ya ha invertido más de 2 mil millones de dólares en ocho acuerdos, incluidos tres novedosos Contratos de Carbono por Diferencia;</w:t>
      </w:r>
    </w:p>
    <w:p w14:paraId="1BAA476E" w14:textId="62D25F36" w:rsidR="00261842" w:rsidRPr="00261842" w:rsidRDefault="00261842" w:rsidP="00261842">
      <w:pPr>
        <w:numPr>
          <w:ilvl w:val="1"/>
          <w:numId w:val="2"/>
        </w:numPr>
        <w:jc w:val="both"/>
      </w:pPr>
      <w:r w:rsidRPr="00261842">
        <w:t>Aprovechar al menos</w:t>
      </w:r>
      <w:r w:rsidR="00B234CB">
        <w:t xml:space="preserve"> </w:t>
      </w:r>
      <w:r w:rsidRPr="00261842">
        <w:rPr>
          <w:b/>
          <w:bCs/>
        </w:rPr>
        <w:t>20.000 millones de dólares del Banco de Infraestructura de Canadá</w:t>
      </w:r>
      <w:r w:rsidR="00B234CB">
        <w:t xml:space="preserve"> </w:t>
      </w:r>
      <w:r w:rsidRPr="00261842">
        <w:t>para construir importantes proyectos de infraestructura de electricidad limpia y crecimiento limpio;</w:t>
      </w:r>
    </w:p>
    <w:p w14:paraId="6E82F9AF" w14:textId="757206DC" w:rsidR="00261842" w:rsidRPr="00261842" w:rsidRDefault="00261842" w:rsidP="00261842">
      <w:pPr>
        <w:numPr>
          <w:ilvl w:val="1"/>
          <w:numId w:val="2"/>
        </w:numPr>
        <w:jc w:val="both"/>
      </w:pPr>
      <w:r w:rsidRPr="00261842">
        <w:t>Asegurar la ventaja de Canadá como el proveedor preferido del mundo de minerales críticos y las tecnologías limpias que estos permiten, mediante un mayor desarrollo de las cadenas de suministro mediante una</w:t>
      </w:r>
      <w:r w:rsidR="00B234CB">
        <w:t xml:space="preserve"> </w:t>
      </w:r>
      <w:r w:rsidRPr="00261842">
        <w:rPr>
          <w:b/>
          <w:bCs/>
        </w:rPr>
        <w:t>Estrategia de Minerales Críticos de 3.800 millones de dólares</w:t>
      </w:r>
      <w:r w:rsidRPr="00261842">
        <w:t>; y</w:t>
      </w:r>
    </w:p>
    <w:p w14:paraId="31B1ADA7" w14:textId="57D20706" w:rsidR="00261842" w:rsidRPr="00261842" w:rsidRDefault="00261842" w:rsidP="00261842">
      <w:pPr>
        <w:numPr>
          <w:ilvl w:val="1"/>
          <w:numId w:val="2"/>
        </w:numPr>
        <w:jc w:val="both"/>
      </w:pPr>
      <w:r w:rsidRPr="00261842">
        <w:t>Generar energía más limpia, asequible y confiable, y apoyar la innovación en las redes eléctricas, incluida la energía eólica marina, a través de la</w:t>
      </w:r>
      <w:r w:rsidR="00B234CB">
        <w:t xml:space="preserve"> </w:t>
      </w:r>
      <w:r w:rsidRPr="00261842">
        <w:rPr>
          <w:b/>
          <w:bCs/>
        </w:rPr>
        <w:t>recapitalización de $3 mil millones del Programa de Caminos Inteligentes de Energías Renovables y Electrificación</w:t>
      </w:r>
      <w:r w:rsidRPr="00261842">
        <w:t>.</w:t>
      </w:r>
    </w:p>
    <w:p w14:paraId="17B2EFCA" w14:textId="6560C770" w:rsidR="00261842" w:rsidRDefault="00261842" w:rsidP="00261842">
      <w:pPr>
        <w:jc w:val="both"/>
      </w:pPr>
      <w:r w:rsidRPr="00261842">
        <w:rPr>
          <w:noProof/>
        </w:rPr>
        <w:drawing>
          <wp:inline distT="0" distB="0" distL="0" distR="0" wp14:anchorId="47FFBA57" wp14:editId="389C75D2">
            <wp:extent cx="4058216" cy="70494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58216" cy="704948"/>
                    </a:xfrm>
                    <a:prstGeom prst="rect">
                      <a:avLst/>
                    </a:prstGeom>
                  </pic:spPr>
                </pic:pic>
              </a:graphicData>
            </a:graphic>
          </wp:inline>
        </w:drawing>
      </w:r>
    </w:p>
    <w:p w14:paraId="4CCFFED6" w14:textId="77777777" w:rsidR="00261842" w:rsidRDefault="00261842" w:rsidP="00261842">
      <w:pPr>
        <w:jc w:val="both"/>
      </w:pPr>
    </w:p>
    <w:sectPr w:rsidR="0026184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01"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E1706"/>
    <w:multiLevelType w:val="multilevel"/>
    <w:tmpl w:val="FDB00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54A2F"/>
    <w:multiLevelType w:val="multilevel"/>
    <w:tmpl w:val="441A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65E17"/>
    <w:multiLevelType w:val="multilevel"/>
    <w:tmpl w:val="A7EC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2A6F27"/>
    <w:multiLevelType w:val="multilevel"/>
    <w:tmpl w:val="0A5E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8947ED"/>
    <w:multiLevelType w:val="multilevel"/>
    <w:tmpl w:val="209E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42"/>
    <w:rsid w:val="0012241F"/>
    <w:rsid w:val="001F0539"/>
    <w:rsid w:val="00261842"/>
    <w:rsid w:val="00B234CB"/>
    <w:rsid w:val="00F851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C32B"/>
  <w15:chartTrackingRefBased/>
  <w15:docId w15:val="{6119990A-A398-4859-A77D-A9748026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61842"/>
    <w:rPr>
      <w:color w:val="0563C1" w:themeColor="hyperlink"/>
      <w:u w:val="single"/>
    </w:rPr>
  </w:style>
  <w:style w:type="character" w:styleId="Mencinsinresolver">
    <w:name w:val="Unresolved Mention"/>
    <w:basedOn w:val="Fuentedeprrafopredeter"/>
    <w:uiPriority w:val="99"/>
    <w:semiHidden/>
    <w:unhideWhenUsed/>
    <w:rsid w:val="00261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736345">
      <w:bodyDiv w:val="1"/>
      <w:marLeft w:val="0"/>
      <w:marRight w:val="0"/>
      <w:marTop w:val="0"/>
      <w:marBottom w:val="0"/>
      <w:divBdr>
        <w:top w:val="none" w:sz="0" w:space="0" w:color="auto"/>
        <w:left w:val="none" w:sz="0" w:space="0" w:color="auto"/>
        <w:bottom w:val="none" w:sz="0" w:space="0" w:color="auto"/>
        <w:right w:val="none" w:sz="0" w:space="0" w:color="auto"/>
      </w:divBdr>
      <w:divsChild>
        <w:div w:id="1473518678">
          <w:marLeft w:val="0"/>
          <w:marRight w:val="0"/>
          <w:marTop w:val="0"/>
          <w:marBottom w:val="0"/>
          <w:divBdr>
            <w:top w:val="none" w:sz="0" w:space="0" w:color="auto"/>
            <w:left w:val="none" w:sz="0" w:space="0" w:color="auto"/>
            <w:bottom w:val="none" w:sz="0" w:space="0" w:color="auto"/>
            <w:right w:val="none" w:sz="0" w:space="0" w:color="auto"/>
          </w:divBdr>
        </w:div>
        <w:div w:id="615795812">
          <w:marLeft w:val="0"/>
          <w:marRight w:val="0"/>
          <w:marTop w:val="300"/>
          <w:marBottom w:val="300"/>
          <w:divBdr>
            <w:top w:val="none" w:sz="0" w:space="0" w:color="auto"/>
            <w:left w:val="none" w:sz="0" w:space="0" w:color="auto"/>
            <w:bottom w:val="none" w:sz="0" w:space="0" w:color="auto"/>
            <w:right w:val="none" w:sz="0" w:space="0" w:color="auto"/>
          </w:divBdr>
        </w:div>
        <w:div w:id="1779521552">
          <w:marLeft w:val="0"/>
          <w:marRight w:val="0"/>
          <w:marTop w:val="600"/>
          <w:marBottom w:val="0"/>
          <w:divBdr>
            <w:top w:val="none" w:sz="0" w:space="0" w:color="auto"/>
            <w:left w:val="none" w:sz="0" w:space="0" w:color="auto"/>
            <w:bottom w:val="none" w:sz="0" w:space="0" w:color="auto"/>
            <w:right w:val="none" w:sz="0" w:space="0" w:color="auto"/>
          </w:divBdr>
          <w:divsChild>
            <w:div w:id="1116020494">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092430395">
      <w:bodyDiv w:val="1"/>
      <w:marLeft w:val="0"/>
      <w:marRight w:val="0"/>
      <w:marTop w:val="0"/>
      <w:marBottom w:val="0"/>
      <w:divBdr>
        <w:top w:val="none" w:sz="0" w:space="0" w:color="auto"/>
        <w:left w:val="none" w:sz="0" w:space="0" w:color="auto"/>
        <w:bottom w:val="none" w:sz="0" w:space="0" w:color="auto"/>
        <w:right w:val="none" w:sz="0" w:space="0" w:color="auto"/>
      </w:divBdr>
      <w:divsChild>
        <w:div w:id="1909878927">
          <w:marLeft w:val="0"/>
          <w:marRight w:val="0"/>
          <w:marTop w:val="0"/>
          <w:marBottom w:val="0"/>
          <w:divBdr>
            <w:top w:val="none" w:sz="0" w:space="0" w:color="auto"/>
            <w:left w:val="none" w:sz="0" w:space="0" w:color="auto"/>
            <w:bottom w:val="none" w:sz="0" w:space="0" w:color="auto"/>
            <w:right w:val="none" w:sz="0" w:space="0" w:color="auto"/>
          </w:divBdr>
          <w:divsChild>
            <w:div w:id="1894266276">
              <w:marLeft w:val="0"/>
              <w:marRight w:val="0"/>
              <w:marTop w:val="0"/>
              <w:marBottom w:val="0"/>
              <w:divBdr>
                <w:top w:val="none" w:sz="0" w:space="0" w:color="auto"/>
                <w:left w:val="none" w:sz="0" w:space="0" w:color="auto"/>
                <w:bottom w:val="none" w:sz="0" w:space="0" w:color="auto"/>
                <w:right w:val="none" w:sz="0" w:space="0" w:color="auto"/>
              </w:divBdr>
              <w:divsChild>
                <w:div w:id="1444305856">
                  <w:marLeft w:val="0"/>
                  <w:marRight w:val="0"/>
                  <w:marTop w:val="0"/>
                  <w:marBottom w:val="0"/>
                  <w:divBdr>
                    <w:top w:val="none" w:sz="0" w:space="0" w:color="auto"/>
                    <w:left w:val="none" w:sz="0" w:space="0" w:color="auto"/>
                    <w:bottom w:val="none" w:sz="0" w:space="0" w:color="auto"/>
                    <w:right w:val="none" w:sz="0" w:space="0" w:color="auto"/>
                  </w:divBdr>
                  <w:divsChild>
                    <w:div w:id="1632594707">
                      <w:marLeft w:val="0"/>
                      <w:marRight w:val="0"/>
                      <w:marTop w:val="0"/>
                      <w:marBottom w:val="0"/>
                      <w:divBdr>
                        <w:top w:val="none" w:sz="0" w:space="0" w:color="auto"/>
                        <w:left w:val="none" w:sz="0" w:space="0" w:color="auto"/>
                        <w:bottom w:val="none" w:sz="0" w:space="0" w:color="auto"/>
                        <w:right w:val="none" w:sz="0" w:space="0" w:color="auto"/>
                      </w:divBdr>
                      <w:divsChild>
                        <w:div w:id="1428845168">
                          <w:marLeft w:val="0"/>
                          <w:marRight w:val="0"/>
                          <w:marTop w:val="0"/>
                          <w:marBottom w:val="0"/>
                          <w:divBdr>
                            <w:top w:val="none" w:sz="0" w:space="0" w:color="auto"/>
                            <w:left w:val="none" w:sz="0" w:space="0" w:color="auto"/>
                            <w:bottom w:val="none" w:sz="0" w:space="0" w:color="auto"/>
                            <w:right w:val="none" w:sz="0" w:space="0" w:color="auto"/>
                          </w:divBdr>
                        </w:div>
                        <w:div w:id="1353796078">
                          <w:marLeft w:val="0"/>
                          <w:marRight w:val="0"/>
                          <w:marTop w:val="0"/>
                          <w:marBottom w:val="0"/>
                          <w:divBdr>
                            <w:top w:val="none" w:sz="0" w:space="0" w:color="auto"/>
                            <w:left w:val="none" w:sz="0" w:space="0" w:color="auto"/>
                            <w:bottom w:val="none" w:sz="0" w:space="0" w:color="auto"/>
                            <w:right w:val="none" w:sz="0" w:space="0" w:color="auto"/>
                          </w:divBdr>
                        </w:div>
                        <w:div w:id="214120255">
                          <w:marLeft w:val="0"/>
                          <w:marRight w:val="0"/>
                          <w:marTop w:val="0"/>
                          <w:marBottom w:val="225"/>
                          <w:divBdr>
                            <w:top w:val="none" w:sz="0" w:space="0" w:color="auto"/>
                            <w:left w:val="none" w:sz="0" w:space="0" w:color="auto"/>
                            <w:bottom w:val="none" w:sz="0" w:space="0" w:color="auto"/>
                            <w:right w:val="none" w:sz="0" w:space="0" w:color="auto"/>
                          </w:divBdr>
                          <w:divsChild>
                            <w:div w:id="1536503241">
                              <w:marLeft w:val="-225"/>
                              <w:marRight w:val="-225"/>
                              <w:marTop w:val="0"/>
                              <w:marBottom w:val="0"/>
                              <w:divBdr>
                                <w:top w:val="none" w:sz="0" w:space="0" w:color="auto"/>
                                <w:left w:val="none" w:sz="0" w:space="0" w:color="auto"/>
                                <w:bottom w:val="none" w:sz="0" w:space="0" w:color="auto"/>
                                <w:right w:val="none" w:sz="0" w:space="0" w:color="auto"/>
                              </w:divBdr>
                              <w:divsChild>
                                <w:div w:id="1695838702">
                                  <w:marLeft w:val="0"/>
                                  <w:marRight w:val="0"/>
                                  <w:marTop w:val="0"/>
                                  <w:marBottom w:val="0"/>
                                  <w:divBdr>
                                    <w:top w:val="none" w:sz="0" w:space="0" w:color="auto"/>
                                    <w:left w:val="none" w:sz="0" w:space="0" w:color="auto"/>
                                    <w:bottom w:val="none" w:sz="0" w:space="0" w:color="auto"/>
                                    <w:right w:val="none" w:sz="0" w:space="0" w:color="auto"/>
                                  </w:divBdr>
                                  <w:divsChild>
                                    <w:div w:id="10459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952366">
                          <w:marLeft w:val="0"/>
                          <w:marRight w:val="0"/>
                          <w:marTop w:val="0"/>
                          <w:marBottom w:val="0"/>
                          <w:divBdr>
                            <w:top w:val="none" w:sz="0" w:space="0" w:color="auto"/>
                            <w:left w:val="none" w:sz="0" w:space="0" w:color="auto"/>
                            <w:bottom w:val="none" w:sz="0" w:space="0" w:color="auto"/>
                            <w:right w:val="none" w:sz="0" w:space="0" w:color="auto"/>
                          </w:divBdr>
                        </w:div>
                        <w:div w:id="547113407">
                          <w:blockQuote w:val="1"/>
                          <w:marLeft w:val="0"/>
                          <w:marRight w:val="0"/>
                          <w:marTop w:val="0"/>
                          <w:marBottom w:val="345"/>
                          <w:divBdr>
                            <w:top w:val="none" w:sz="0" w:space="0" w:color="auto"/>
                            <w:left w:val="single" w:sz="36" w:space="17" w:color="EEEEEE"/>
                            <w:bottom w:val="none" w:sz="0" w:space="0" w:color="auto"/>
                            <w:right w:val="none" w:sz="0" w:space="0" w:color="auto"/>
                          </w:divBdr>
                        </w:div>
                        <w:div w:id="1213344513">
                          <w:blockQuote w:val="1"/>
                          <w:marLeft w:val="0"/>
                          <w:marRight w:val="0"/>
                          <w:marTop w:val="0"/>
                          <w:marBottom w:val="345"/>
                          <w:divBdr>
                            <w:top w:val="none" w:sz="0" w:space="0" w:color="auto"/>
                            <w:left w:val="single" w:sz="36" w:space="17" w:color="EEEEEE"/>
                            <w:bottom w:val="none" w:sz="0" w:space="0" w:color="auto"/>
                            <w:right w:val="none" w:sz="0" w:space="0" w:color="auto"/>
                          </w:divBdr>
                        </w:div>
                        <w:div w:id="1757434642">
                          <w:blockQuote w:val="1"/>
                          <w:marLeft w:val="0"/>
                          <w:marRight w:val="0"/>
                          <w:marTop w:val="0"/>
                          <w:marBottom w:val="345"/>
                          <w:divBdr>
                            <w:top w:val="none" w:sz="0" w:space="0" w:color="auto"/>
                            <w:left w:val="single" w:sz="36" w:space="17" w:color="EEEEEE"/>
                            <w:bottom w:val="none" w:sz="0" w:space="0" w:color="auto"/>
                            <w:right w:val="none" w:sz="0" w:space="0" w:color="auto"/>
                          </w:divBdr>
                        </w:div>
                        <w:div w:id="1995985791">
                          <w:blockQuote w:val="1"/>
                          <w:marLeft w:val="0"/>
                          <w:marRight w:val="0"/>
                          <w:marTop w:val="0"/>
                          <w:marBottom w:val="345"/>
                          <w:divBdr>
                            <w:top w:val="none" w:sz="0" w:space="0" w:color="auto"/>
                            <w:left w:val="single" w:sz="36" w:space="17" w:color="EEEEEE"/>
                            <w:bottom w:val="none" w:sz="0" w:space="0" w:color="auto"/>
                            <w:right w:val="none" w:sz="0" w:space="0" w:color="auto"/>
                          </w:divBdr>
                        </w:div>
                        <w:div w:id="1039553286">
                          <w:blockQuote w:val="1"/>
                          <w:marLeft w:val="0"/>
                          <w:marRight w:val="0"/>
                          <w:marTop w:val="0"/>
                          <w:marBottom w:val="345"/>
                          <w:divBdr>
                            <w:top w:val="none" w:sz="0" w:space="0" w:color="auto"/>
                            <w:left w:val="single" w:sz="36" w:space="17" w:color="EEEEEE"/>
                            <w:bottom w:val="none" w:sz="0" w:space="0" w:color="auto"/>
                            <w:right w:val="none" w:sz="0" w:space="0" w:color="auto"/>
                          </w:divBdr>
                        </w:div>
                        <w:div w:id="511795180">
                          <w:marLeft w:val="0"/>
                          <w:marRight w:val="0"/>
                          <w:marTop w:val="0"/>
                          <w:marBottom w:val="0"/>
                          <w:divBdr>
                            <w:top w:val="none" w:sz="0" w:space="0" w:color="auto"/>
                            <w:left w:val="none" w:sz="0" w:space="0" w:color="auto"/>
                            <w:bottom w:val="none" w:sz="0" w:space="0" w:color="auto"/>
                            <w:right w:val="none" w:sz="0" w:space="0" w:color="auto"/>
                          </w:divBdr>
                        </w:div>
                        <w:div w:id="1010375358">
                          <w:marLeft w:val="0"/>
                          <w:marRight w:val="0"/>
                          <w:marTop w:val="0"/>
                          <w:marBottom w:val="0"/>
                          <w:divBdr>
                            <w:top w:val="none" w:sz="0" w:space="0" w:color="auto"/>
                            <w:left w:val="none" w:sz="0" w:space="0" w:color="auto"/>
                            <w:bottom w:val="none" w:sz="0" w:space="0" w:color="auto"/>
                            <w:right w:val="none" w:sz="0" w:space="0" w:color="auto"/>
                          </w:divBdr>
                        </w:div>
                        <w:div w:id="1210263250">
                          <w:marLeft w:val="0"/>
                          <w:marRight w:val="0"/>
                          <w:marTop w:val="450"/>
                          <w:marBottom w:val="0"/>
                          <w:divBdr>
                            <w:top w:val="none" w:sz="0" w:space="0" w:color="auto"/>
                            <w:left w:val="none" w:sz="0" w:space="0" w:color="auto"/>
                            <w:bottom w:val="none" w:sz="0" w:space="0" w:color="auto"/>
                            <w:right w:val="none" w:sz="0" w:space="0" w:color="auto"/>
                          </w:divBdr>
                          <w:divsChild>
                            <w:div w:id="71454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canada/" TargetMode="External"/><Relationship Id="rId13" Type="http://schemas.openxmlformats.org/officeDocument/2006/relationships/hyperlink" Target="https://budget.canada.ca/2024/report-rapport/chap4-en.html" TargetMode="External"/><Relationship Id="rId3" Type="http://schemas.openxmlformats.org/officeDocument/2006/relationships/settings" Target="settings.xml"/><Relationship Id="rId7" Type="http://schemas.openxmlformats.org/officeDocument/2006/relationships/hyperlink" Target="https://www.canada.ca/en/department-finance/news/2024/10/government-advances-made-in-canada-sustainable-investment-guidelines-and-mandatory-climate-disclosures-to-accelerate-progress-to-net-zero-emissions.html" TargetMode="External"/><Relationship Id="rId12" Type="http://schemas.openxmlformats.org/officeDocument/2006/relationships/hyperlink" Target="https://www.xbrl.org/tag/tcf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xbrl.org/news/canada-advances-mandatory-climate-disclosures-and-sustainable-investment-guidelines/" TargetMode="External"/><Relationship Id="rId11" Type="http://schemas.openxmlformats.org/officeDocument/2006/relationships/hyperlink" Target="https://www.xbrl.org/tag/sustainability/" TargetMode="External"/><Relationship Id="rId5" Type="http://schemas.openxmlformats.org/officeDocument/2006/relationships/image" Target="media/image1.jpeg"/><Relationship Id="rId15" Type="http://schemas.openxmlformats.org/officeDocument/2006/relationships/image" Target="media/image2.png"/><Relationship Id="rId10" Type="http://schemas.openxmlformats.org/officeDocument/2006/relationships/hyperlink" Target="https://www.xbrl.org/tag/esg/" TargetMode="External"/><Relationship Id="rId4" Type="http://schemas.openxmlformats.org/officeDocument/2006/relationships/webSettings" Target="webSettings.xml"/><Relationship Id="rId9" Type="http://schemas.openxmlformats.org/officeDocument/2006/relationships/hyperlink" Target="https://www.xbrl.org/tag/climate/" TargetMode="External"/><Relationship Id="rId14" Type="http://schemas.openxmlformats.org/officeDocument/2006/relationships/hyperlink" Target="https://www.budget.canada.ca/fes-eea/2023/report-rapport/chap3-en.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2286</Words>
  <Characters>12574</Characters>
  <Application>Microsoft Office Word</Application>
  <DocSecurity>0</DocSecurity>
  <Lines>104</Lines>
  <Paragraphs>29</Paragraphs>
  <ScaleCrop>false</ScaleCrop>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4</cp:revision>
  <dcterms:created xsi:type="dcterms:W3CDTF">2024-10-26T02:50:00Z</dcterms:created>
  <dcterms:modified xsi:type="dcterms:W3CDTF">2024-11-05T02:32:00Z</dcterms:modified>
</cp:coreProperties>
</file>