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FE06" w14:textId="73F5531D" w:rsidR="00701478" w:rsidRPr="0083478B" w:rsidRDefault="00701478" w:rsidP="00701478">
      <w:pPr>
        <w:jc w:val="both"/>
        <w:rPr>
          <w:rFonts w:ascii="Abadi" w:hAnsi="Abadi"/>
          <w:sz w:val="28"/>
          <w:szCs w:val="28"/>
        </w:rPr>
      </w:pPr>
      <w:r w:rsidRPr="0083478B">
        <w:rPr>
          <w:rFonts w:ascii="Abadi" w:hAnsi="Abadi"/>
          <w:sz w:val="28"/>
          <w:szCs w:val="28"/>
        </w:rPr>
        <w:t>Conferencia y taller sobre finanzas abiertas</w:t>
      </w:r>
    </w:p>
    <w:p w14:paraId="0093F4F0" w14:textId="6D85B0AE" w:rsidR="00701478" w:rsidRPr="00701478" w:rsidRDefault="00701478" w:rsidP="00701478">
      <w:pPr>
        <w:jc w:val="both"/>
      </w:pPr>
      <w:r w:rsidRPr="00701478">
        <w:t>Palabras de apertura del Sr. Suhaimi Ali, Subgobernador del Banco Central de Malasia (Bank Negara Malaysia), en la Conferencia y Taller de Finanzas Abiertas, Kuala Lumpur, 29 de octubre de 2024. </w:t>
      </w:r>
    </w:p>
    <w:p w14:paraId="47285CF9" w14:textId="77777777" w:rsidR="00701478" w:rsidRPr="00701478" w:rsidRDefault="00701478" w:rsidP="00701478">
      <w:pPr>
        <w:jc w:val="both"/>
      </w:pPr>
      <w:r w:rsidRPr="00701478">
        <w:t>Las opiniones expresadas en este discurso son las del orador y no las del BIS.</w:t>
      </w:r>
    </w:p>
    <w:p w14:paraId="3FECDEEE" w14:textId="09ABD27F" w:rsidR="00701478" w:rsidRPr="00701478" w:rsidRDefault="00701478" w:rsidP="00701478">
      <w:pPr>
        <w:jc w:val="both"/>
      </w:pPr>
      <w:r w:rsidRPr="00701478">
        <w:t>Discurso del banco central</w:t>
      </w:r>
      <w:r>
        <w:t xml:space="preserve"> </w:t>
      </w:r>
      <w:r w:rsidRPr="00701478">
        <w:t>|</w:t>
      </w:r>
      <w:r>
        <w:t xml:space="preserve"> </w:t>
      </w:r>
      <w:r w:rsidRPr="00701478">
        <w:t>04 de noviembre de 2024</w:t>
      </w:r>
    </w:p>
    <w:p w14:paraId="7D3137EF" w14:textId="2AC02182" w:rsidR="00701478" w:rsidRPr="00701478" w:rsidRDefault="00701478" w:rsidP="00701478">
      <w:pPr>
        <w:jc w:val="both"/>
      </w:pPr>
      <w:r w:rsidRPr="00701478">
        <w:t>Por</w:t>
      </w:r>
      <w:r>
        <w:t xml:space="preserve">: </w:t>
      </w:r>
      <w:hyperlink r:id="rId4" w:history="1">
        <w:r w:rsidRPr="00701478">
          <w:rPr>
            <w:rStyle w:val="Hipervnculo"/>
          </w:rPr>
          <w:t>Suhaimi Ali</w:t>
        </w:r>
      </w:hyperlink>
    </w:p>
    <w:p w14:paraId="02E73C03" w14:textId="165DFEA5" w:rsidR="00701478" w:rsidRPr="00701478" w:rsidRDefault="00D36F6C" w:rsidP="00701478">
      <w:pPr>
        <w:jc w:val="both"/>
      </w:pPr>
      <w:hyperlink r:id="rId5" w:history="1">
        <w:r w:rsidR="00701478" w:rsidRPr="00701478">
          <w:rPr>
            <w:rStyle w:val="Hipervnculo"/>
          </w:rPr>
          <w:t>Texto completo en formato PDF</w:t>
        </w:r>
        <w:r w:rsidR="00701478">
          <w:rPr>
            <w:rStyle w:val="Hipervnculo"/>
          </w:rPr>
          <w:t xml:space="preserve"> </w:t>
        </w:r>
        <w:r w:rsidR="00701478" w:rsidRPr="00701478">
          <w:rPr>
            <w:rStyle w:val="Hipervnculo"/>
          </w:rPr>
          <w:t>(6kb)</w:t>
        </w:r>
        <w:r w:rsidR="00701478">
          <w:rPr>
            <w:rStyle w:val="Hipervnculo"/>
          </w:rPr>
          <w:t xml:space="preserve"> </w:t>
        </w:r>
      </w:hyperlink>
      <w:r w:rsidR="00701478" w:rsidRPr="00701478">
        <w:t>|</w:t>
      </w:r>
      <w:r w:rsidR="00701478">
        <w:t xml:space="preserve"> </w:t>
      </w:r>
      <w:r w:rsidR="00701478" w:rsidRPr="00701478">
        <w:t>3 páginas</w:t>
      </w:r>
    </w:p>
    <w:p w14:paraId="7BF5EFB7" w14:textId="77777777" w:rsidR="00701478" w:rsidRPr="00701478" w:rsidRDefault="00701478" w:rsidP="00701478">
      <w:pPr>
        <w:jc w:val="both"/>
      </w:pPr>
      <w:r w:rsidRPr="00701478">
        <w:t>Es un placer estar aquí hoy en la Conferencia y Taller de Finanzas Abiertas.</w:t>
      </w:r>
    </w:p>
    <w:p w14:paraId="24FA3B44" w14:textId="77777777" w:rsidR="00701478" w:rsidRPr="00701478" w:rsidRDefault="00701478" w:rsidP="00701478">
      <w:pPr>
        <w:jc w:val="both"/>
      </w:pPr>
      <w:r w:rsidRPr="00701478">
        <w:t>El evento de hoy es un hito importante en nuestro viaje hacia las Finanzas Abiertas, ya que buscamos convertir en realidad la visión y la aspiración que tenemos de avanzar en el desarrollo de un ecosistema de datos abiertos para el sector financiero tal como se establece en el Plan del Sector Financiero 2022-2026.</w:t>
      </w:r>
    </w:p>
    <w:p w14:paraId="2EC06CF5" w14:textId="77777777" w:rsidR="00701478" w:rsidRPr="00701478" w:rsidRDefault="00701478" w:rsidP="00701478">
      <w:pPr>
        <w:jc w:val="both"/>
      </w:pPr>
      <w:r w:rsidRPr="00701478">
        <w:t>Las finanzas abiertas y, en términos más generales, los datos abiertos son una prioridad importante para nosotros, dadas las realidades de nuestro entorno operativo y del mundo en el que vivimos hoy. A medida que más transacciones se trasladan a la esfera digital, también lo hacen los datos. Con esto, existe un creciente reconocimiento de la importancia de las infraestructuras clave que almacenan, comparten o sintetizan estos datos, que son la base para la realización de una economía digital. Las finanzas abiertas pueden ayudar a respaldar esto al brindarles a los clientes el derecho de ejercer control sobre sus datos personales y establecer un entorno confiable, seguro y estructurado para hacerlo.</w:t>
      </w:r>
    </w:p>
    <w:p w14:paraId="2720B0E6" w14:textId="77777777" w:rsidR="00701478" w:rsidRPr="00701478" w:rsidRDefault="00701478" w:rsidP="00701478">
      <w:pPr>
        <w:jc w:val="both"/>
      </w:pPr>
      <w:r w:rsidRPr="00701478">
        <w:t>La Conferencia y Taller sobre Finanzas Abiertas que se celebra hoy también es oportuna tras la reciente aprobación en el Parlamento del Proyecto de Ley de Modificación de la Ley de Protección de Datos Personales de 2024. La Ley de Modificación de la Ley de Protección de Datos Personales introduce, entre otros, el derecho a la portabilidad de datos.</w:t>
      </w:r>
    </w:p>
    <w:p w14:paraId="2C2F1C61" w14:textId="77777777" w:rsidR="00701478" w:rsidRPr="00701478" w:rsidRDefault="00701478" w:rsidP="00701478">
      <w:pPr>
        <w:jc w:val="both"/>
      </w:pPr>
      <w:r w:rsidRPr="00701478">
        <w:t>Tanto los clientes como el sector financiero se beneficiarán de Open Finance. Al proporcionar a los clientes las herramientas para ejercer control sobre sus datos personales a través de un entorno estructurado, seguro, confiable y autorizado por el cliente, creemos que esto puede, a su vez, generar nuevas posibilidades y soluciones de productos. Estas incluyen innovaciones basadas en datos que promueven una mayor inclusión financiera y empoderan a los consumidores para tomar decisiones mejor informadas sobre sus finanzas.</w:t>
      </w:r>
    </w:p>
    <w:p w14:paraId="26609141" w14:textId="77777777" w:rsidR="00701478" w:rsidRPr="00701478" w:rsidRDefault="00701478" w:rsidP="00701478">
      <w:pPr>
        <w:jc w:val="both"/>
      </w:pPr>
      <w:r w:rsidRPr="00701478">
        <w:t>Esta es una gran oportunidad para que las instituciones financieras y otros actores, como las empresas de tecnología financiera, puedan aprovecharla. De hecho, creemos que las finanzas abiertas permitirán que la industria se mantenga a la vanguardia en un mundo cada vez más competitivo y de rápido movimiento, a la hora de satisfacer las expectativas de los consumidores de soluciones más transparentes e innovadoras que satisfagan sus necesidades.</w:t>
      </w:r>
    </w:p>
    <w:p w14:paraId="61B1202F" w14:textId="77777777" w:rsidR="00701478" w:rsidRPr="00701478" w:rsidRDefault="00701478" w:rsidP="00701478">
      <w:pPr>
        <w:jc w:val="both"/>
      </w:pPr>
      <w:r w:rsidRPr="00701478">
        <w:t xml:space="preserve">Teniendo esto en mente, Bank Negara Malaysia se siente alentado por el hecho de que PayNet haya dado un paso adelante para impulsar el desarrollo y la implementación de las infraestructuras y los estándares técnicos comunes para las finanzas abiertas. Bank Negara Malaysia también trabajará </w:t>
      </w:r>
      <w:r w:rsidRPr="00701478">
        <w:lastRenderedPageBreak/>
        <w:t>en estrecha colaboración con PayNet y la industria para hacer realidad la visión prevista para las finanzas abiertas mediante la implementación de un entorno regulatorio propicio que respalde el estado de preparación del sector financiero para las finanzas abiertas.</w:t>
      </w:r>
    </w:p>
    <w:p w14:paraId="632CA668" w14:textId="77777777" w:rsidR="00701478" w:rsidRPr="00701478" w:rsidRDefault="00701478" w:rsidP="00701478">
      <w:pPr>
        <w:jc w:val="both"/>
      </w:pPr>
      <w:r w:rsidRPr="00701478">
        <w:t>Para que las finanzas abiertas sean una realidad y un éxito en Malasia también será necesario el fuerte compromiso y apoyo de otros, ya sean instituciones financieras, proveedores de monederos electrónicos y actores de tecnología financiera, entre otros.</w:t>
      </w:r>
    </w:p>
    <w:p w14:paraId="42F8BCDF" w14:textId="77777777" w:rsidR="00701478" w:rsidRPr="00701478" w:rsidRDefault="00701478" w:rsidP="00701478">
      <w:pPr>
        <w:jc w:val="both"/>
      </w:pPr>
      <w:r w:rsidRPr="00701478">
        <w:t>De hecho, necesitaremos un enfoque que abarque todo el sistema. Cada uno de nosotros aquí tiene un papel integral en la configuración del futuro de las finanzas abiertas y en garantizar que el ecosistema prospere y logre los resultados previstos.</w:t>
      </w:r>
    </w:p>
    <w:p w14:paraId="5B728FBA" w14:textId="77777777" w:rsidR="00701478" w:rsidRPr="00701478" w:rsidRDefault="00701478" w:rsidP="00701478">
      <w:pPr>
        <w:jc w:val="both"/>
      </w:pPr>
      <w:r w:rsidRPr="00701478">
        <w:t>La conferencia y el taller de hoy serán un paso importante para alinear nuestra visión, lo que incluye determinar qué se debe hacer en el futuro para hacer realidad la visión de las finanzas abiertas. Imagino que se compartirán perspectivas diversas y enriquecedoras, incluidos los desafíos técnicos y comerciales que tendremos que afrontar y superar.</w:t>
      </w:r>
    </w:p>
    <w:p w14:paraId="5500AECE" w14:textId="77777777" w:rsidR="00701478" w:rsidRPr="00701478" w:rsidRDefault="00701478" w:rsidP="00701478">
      <w:pPr>
        <w:jc w:val="both"/>
      </w:pPr>
      <w:r w:rsidRPr="00701478">
        <w:t>Confío en que la industria trabajará de manera constructiva y pragmática para superar estos desafíos y lograr el mejor resultado posible para hacer realidad las finanzas abiertas. En definitiva, espero que la industria vea las finanzas abiertas no como una amenaza, sino como una oportunidad.</w:t>
      </w:r>
    </w:p>
    <w:p w14:paraId="163F05AE" w14:textId="77777777" w:rsidR="00701478" w:rsidRPr="00701478" w:rsidRDefault="00701478" w:rsidP="00701478">
      <w:pPr>
        <w:jc w:val="both"/>
      </w:pPr>
      <w:r w:rsidRPr="00701478">
        <w:t>Permítanme compartir algunas de nuestras ideas sobre lo que se necesita para que Open Finance sea un éxito.</w:t>
      </w:r>
    </w:p>
    <w:p w14:paraId="0AC9ACD2" w14:textId="77777777" w:rsidR="00701478" w:rsidRPr="00701478" w:rsidRDefault="00701478" w:rsidP="00701478">
      <w:pPr>
        <w:jc w:val="both"/>
      </w:pPr>
      <w:r w:rsidRPr="00701478">
        <w:t>En primer lugar, será fundamental que generemos y mantengamos la confianza en el intercambio de datos. Incluso mientras se elabora el diseño de la plataforma Open Finance, es importante garantizar que los usuarios se sientan seguros al compartir datos a través de la plataforma. Después de todo, estamos hablando de datos de clientes, que muchos considerarán sensibles y privados, y por lo tanto los clientes esperan que todas las partes de la cadena los traten con delicadeza y cuidado. Los acuerdos de intercambio de datos tampoco deben convertirse en puertas de entrada para estafas, fugas de datos u otras amenazas de ciberseguridad.</w:t>
      </w:r>
    </w:p>
    <w:p w14:paraId="75F7A823" w14:textId="77777777" w:rsidR="00701478" w:rsidRPr="00701478" w:rsidRDefault="00701478" w:rsidP="00701478">
      <w:pPr>
        <w:jc w:val="both"/>
      </w:pPr>
      <w:r w:rsidRPr="00701478">
        <w:t>En segundo lugar, la plataforma o los protocolos deben construirse de manera que sean flexibles, escalables e interoperables. Esto significa desarrollar una arquitectura tecnológica que no solo facilite la integración sin fisuras en los diversos sectores actuales, sino que también sea lo suficientemente flexible como para adaptarse a futuras innovaciones y casos de uso. Esta adaptabilidad será vital a medida que trabajamos para construir un panorama de intercambio de datos interconectado que abarque múltiples industrias. Creemos que Open Finance puede ser un trampolín para avanzar en el desarrollo de estándares comunes para el intercambio de datos no solo dentro del sector financiero, sino también más allá, como con el sector público y actores de varios sectores. La flexibilidad, la escalabilidad y la interoperabilidad también serán clave para preparar la plataforma para el futuro y permitir la integración con la IA y otras innovaciones basadas en datos.</w:t>
      </w:r>
    </w:p>
    <w:p w14:paraId="38FA3B3B" w14:textId="77777777" w:rsidR="00701478" w:rsidRPr="00701478" w:rsidRDefault="00701478" w:rsidP="00701478">
      <w:pPr>
        <w:jc w:val="both"/>
      </w:pPr>
      <w:r w:rsidRPr="00701478">
        <w:t xml:space="preserve">En tercer lugar, debemos esforzarnos por cultivar un ecosistema de finanzas abiertas y datos abiertos próspero, en el que muchos participantes de las finanzas abiertas (ya sean proveedores de servicios financieros o proveedores externos, incluidos los desarrolladores de aplicaciones) compitan y colaboren para crear productos y servicios ingeniosos que se comuniquen y compartan </w:t>
      </w:r>
      <w:r w:rsidRPr="00701478">
        <w:lastRenderedPageBreak/>
        <w:t>datos entre sí (por supuesto, con el consentimiento del cliente). Creemos que una mayor riqueza de los datos de los clientes impulsará innovaciones basadas en datos, que incluyen productos y servicios que satisfagan mejor las necesidades de los clientes. Es por esta razón que el Banco Negara de Malasia ayudará a dar forma a las reglas de participación del ecosistema, que incluyen, si es necesario, exigir formalmente la participación de las instituciones financieras en la plataforma, o permitir que proveedores externos no financieros accedan a la plataforma.</w:t>
      </w:r>
    </w:p>
    <w:p w14:paraId="72BF0B4A" w14:textId="77777777" w:rsidR="00701478" w:rsidRPr="00701478" w:rsidRDefault="00701478" w:rsidP="00701478">
      <w:pPr>
        <w:jc w:val="both"/>
      </w:pPr>
      <w:r w:rsidRPr="00701478">
        <w:t>Para finalizar, mi esperanza es que al brindar a los consumidores un mayor control sobre sus propios datos financieros, Open Finance impulsará nuevas innovaciones basadas en datos y abrirá soluciones que mejoren las vidas y los medios de subsistencia de los clientes.</w:t>
      </w:r>
    </w:p>
    <w:p w14:paraId="26211351" w14:textId="77777777" w:rsidR="00701478" w:rsidRPr="00701478" w:rsidRDefault="00701478" w:rsidP="00701478">
      <w:pPr>
        <w:jc w:val="both"/>
      </w:pPr>
      <w:r w:rsidRPr="00701478">
        <w:t>Con esto, les deseo a todos una conferencia productiva. Gracias.</w:t>
      </w:r>
    </w:p>
    <w:p w14:paraId="5DEEC099" w14:textId="77777777" w:rsidR="00701478" w:rsidRPr="00701478" w:rsidRDefault="00701478" w:rsidP="00701478">
      <w:pPr>
        <w:jc w:val="both"/>
      </w:pPr>
      <w:r w:rsidRPr="00701478">
        <w:t>Acerca del autor</w:t>
      </w:r>
    </w:p>
    <w:p w14:paraId="0349C630" w14:textId="3423059B" w:rsidR="00C952BE" w:rsidRDefault="00701478" w:rsidP="00701478">
      <w:pPr>
        <w:jc w:val="both"/>
      </w:pPr>
      <w:r w:rsidRPr="00701478">
        <w:rPr>
          <w:noProof/>
        </w:rPr>
        <w:drawing>
          <wp:inline distT="0" distB="0" distL="0" distR="0" wp14:anchorId="46E975F5" wp14:editId="0E823474">
            <wp:extent cx="5612130" cy="6108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610870"/>
                    </a:xfrm>
                    <a:prstGeom prst="rect">
                      <a:avLst/>
                    </a:prstGeom>
                  </pic:spPr>
                </pic:pic>
              </a:graphicData>
            </a:graphic>
          </wp:inline>
        </w:drawing>
      </w:r>
    </w:p>
    <w:p w14:paraId="3E9ADF61" w14:textId="77777777" w:rsidR="00701478" w:rsidRPr="00701478" w:rsidRDefault="00701478" w:rsidP="00701478">
      <w:pPr>
        <w:jc w:val="both"/>
      </w:pPr>
    </w:p>
    <w:sectPr w:rsidR="00701478" w:rsidRPr="007014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78"/>
    <w:rsid w:val="00701478"/>
    <w:rsid w:val="0083478B"/>
    <w:rsid w:val="00C952BE"/>
    <w:rsid w:val="00D36F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3D3D"/>
  <w15:chartTrackingRefBased/>
  <w15:docId w15:val="{4C0E335E-2FB3-42F1-9297-82AFBF75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01478"/>
    <w:rPr>
      <w:color w:val="0563C1" w:themeColor="hyperlink"/>
      <w:u w:val="single"/>
    </w:rPr>
  </w:style>
  <w:style w:type="character" w:styleId="Mencinsinresolver">
    <w:name w:val="Unresolved Mention"/>
    <w:basedOn w:val="Fuentedeprrafopredeter"/>
    <w:uiPriority w:val="99"/>
    <w:semiHidden/>
    <w:unhideWhenUsed/>
    <w:rsid w:val="00701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425702">
      <w:bodyDiv w:val="1"/>
      <w:marLeft w:val="0"/>
      <w:marRight w:val="0"/>
      <w:marTop w:val="0"/>
      <w:marBottom w:val="0"/>
      <w:divBdr>
        <w:top w:val="none" w:sz="0" w:space="0" w:color="auto"/>
        <w:left w:val="none" w:sz="0" w:space="0" w:color="auto"/>
        <w:bottom w:val="none" w:sz="0" w:space="0" w:color="auto"/>
        <w:right w:val="none" w:sz="0" w:space="0" w:color="auto"/>
      </w:divBdr>
      <w:divsChild>
        <w:div w:id="2040819301">
          <w:marLeft w:val="0"/>
          <w:marRight w:val="0"/>
          <w:marTop w:val="0"/>
          <w:marBottom w:val="0"/>
          <w:divBdr>
            <w:top w:val="none" w:sz="0" w:space="0" w:color="auto"/>
            <w:left w:val="none" w:sz="0" w:space="0" w:color="auto"/>
            <w:bottom w:val="none" w:sz="0" w:space="0" w:color="auto"/>
            <w:right w:val="none" w:sz="0" w:space="0" w:color="auto"/>
          </w:divBdr>
        </w:div>
        <w:div w:id="100758992">
          <w:marLeft w:val="0"/>
          <w:marRight w:val="0"/>
          <w:marTop w:val="0"/>
          <w:marBottom w:val="0"/>
          <w:divBdr>
            <w:top w:val="single" w:sz="18" w:space="15" w:color="AA332F"/>
            <w:left w:val="none" w:sz="0" w:space="0" w:color="auto"/>
            <w:bottom w:val="none" w:sz="0" w:space="0" w:color="auto"/>
            <w:right w:val="none" w:sz="0" w:space="0" w:color="auto"/>
          </w:divBdr>
          <w:divsChild>
            <w:div w:id="2142845759">
              <w:marLeft w:val="0"/>
              <w:marRight w:val="0"/>
              <w:marTop w:val="0"/>
              <w:marBottom w:val="0"/>
              <w:divBdr>
                <w:top w:val="none" w:sz="0" w:space="0" w:color="auto"/>
                <w:left w:val="none" w:sz="0" w:space="0" w:color="auto"/>
                <w:bottom w:val="none" w:sz="0" w:space="0" w:color="auto"/>
                <w:right w:val="none" w:sz="0" w:space="0" w:color="auto"/>
              </w:divBdr>
              <w:divsChild>
                <w:div w:id="1851411963">
                  <w:marLeft w:val="0"/>
                  <w:marRight w:val="0"/>
                  <w:marTop w:val="0"/>
                  <w:marBottom w:val="0"/>
                  <w:divBdr>
                    <w:top w:val="none" w:sz="0" w:space="0" w:color="auto"/>
                    <w:left w:val="none" w:sz="0" w:space="0" w:color="auto"/>
                    <w:bottom w:val="none" w:sz="0" w:space="0" w:color="auto"/>
                    <w:right w:val="none" w:sz="0" w:space="0" w:color="auto"/>
                  </w:divBdr>
                  <w:divsChild>
                    <w:div w:id="1375540859">
                      <w:marLeft w:val="0"/>
                      <w:marRight w:val="0"/>
                      <w:marTop w:val="0"/>
                      <w:marBottom w:val="0"/>
                      <w:divBdr>
                        <w:top w:val="none" w:sz="0" w:space="0" w:color="auto"/>
                        <w:left w:val="none" w:sz="0" w:space="0" w:color="auto"/>
                        <w:bottom w:val="none" w:sz="0" w:space="0" w:color="auto"/>
                        <w:right w:val="none" w:sz="0" w:space="0" w:color="auto"/>
                      </w:divBdr>
                    </w:div>
                  </w:divsChild>
                </w:div>
                <w:div w:id="794833293">
                  <w:marLeft w:val="0"/>
                  <w:marRight w:val="0"/>
                  <w:marTop w:val="0"/>
                  <w:marBottom w:val="0"/>
                  <w:divBdr>
                    <w:top w:val="none" w:sz="0" w:space="0" w:color="auto"/>
                    <w:left w:val="none" w:sz="0" w:space="0" w:color="auto"/>
                    <w:bottom w:val="none" w:sz="0" w:space="0" w:color="auto"/>
                    <w:right w:val="none" w:sz="0" w:space="0" w:color="auto"/>
                  </w:divBdr>
                  <w:divsChild>
                    <w:div w:id="900291441">
                      <w:marLeft w:val="0"/>
                      <w:marRight w:val="0"/>
                      <w:marTop w:val="0"/>
                      <w:marBottom w:val="0"/>
                      <w:divBdr>
                        <w:top w:val="none" w:sz="0" w:space="0" w:color="auto"/>
                        <w:left w:val="none" w:sz="0" w:space="0" w:color="auto"/>
                        <w:bottom w:val="none" w:sz="0" w:space="0" w:color="auto"/>
                        <w:right w:val="none" w:sz="0" w:space="0" w:color="auto"/>
                      </w:divBdr>
                    </w:div>
                  </w:divsChild>
                </w:div>
                <w:div w:id="1052536660">
                  <w:marLeft w:val="0"/>
                  <w:marRight w:val="0"/>
                  <w:marTop w:val="0"/>
                  <w:marBottom w:val="0"/>
                  <w:divBdr>
                    <w:top w:val="none" w:sz="0" w:space="0" w:color="auto"/>
                    <w:left w:val="none" w:sz="0" w:space="0" w:color="auto"/>
                    <w:bottom w:val="none" w:sz="0" w:space="0" w:color="auto"/>
                    <w:right w:val="none" w:sz="0" w:space="0" w:color="auto"/>
                  </w:divBdr>
                  <w:divsChild>
                    <w:div w:id="3313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53293">
          <w:marLeft w:val="0"/>
          <w:marRight w:val="0"/>
          <w:marTop w:val="0"/>
          <w:marBottom w:val="0"/>
          <w:divBdr>
            <w:top w:val="none" w:sz="0" w:space="0" w:color="auto"/>
            <w:left w:val="none" w:sz="0" w:space="0" w:color="auto"/>
            <w:bottom w:val="none" w:sz="0" w:space="0" w:color="auto"/>
            <w:right w:val="none" w:sz="0" w:space="0" w:color="auto"/>
          </w:divBdr>
        </w:div>
        <w:div w:id="526679282">
          <w:marLeft w:val="0"/>
          <w:marRight w:val="0"/>
          <w:marTop w:val="600"/>
          <w:marBottom w:val="0"/>
          <w:divBdr>
            <w:top w:val="none" w:sz="0" w:space="0" w:color="auto"/>
            <w:left w:val="none" w:sz="0" w:space="0" w:color="auto"/>
            <w:bottom w:val="none" w:sz="0" w:space="0" w:color="auto"/>
            <w:right w:val="none" w:sz="0" w:space="0" w:color="auto"/>
          </w:divBdr>
          <w:divsChild>
            <w:div w:id="15062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bis.org/review/r241104a.pdf" TargetMode="External"/><Relationship Id="rId4" Type="http://schemas.openxmlformats.org/officeDocument/2006/relationships/hyperlink" Target="https://www.bis.org/author/suhaimi_ali.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1184</Words>
  <Characters>6516</Characters>
  <Application>Microsoft Office Word</Application>
  <DocSecurity>0</DocSecurity>
  <Lines>54</Lines>
  <Paragraphs>15</Paragraphs>
  <ScaleCrop>false</ScaleCrop>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2024-11-06T00:55:00Z</dcterms:created>
  <dcterms:modified xsi:type="dcterms:W3CDTF">2024-11-12T02:27:00Z</dcterms:modified>
</cp:coreProperties>
</file>