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333F7" w14:textId="6447A7A1" w:rsidR="0011194C" w:rsidRPr="0011194C" w:rsidRDefault="0011194C" w:rsidP="0011194C">
      <w:pPr>
        <w:jc w:val="both"/>
        <w:rPr>
          <w:rFonts w:ascii="Abadi" w:hAnsi="Abadi"/>
          <w:sz w:val="28"/>
          <w:szCs w:val="28"/>
        </w:rPr>
      </w:pPr>
      <w:r w:rsidRPr="0011194C">
        <w:rPr>
          <w:rFonts w:ascii="Abadi" w:hAnsi="Abadi"/>
          <w:sz w:val="28"/>
          <w:szCs w:val="28"/>
        </w:rPr>
        <w:t>Fechas en XBRL</w:t>
      </w:r>
      <w:r w:rsidRPr="006E06E6">
        <w:rPr>
          <w:rFonts w:ascii="Abadi" w:hAnsi="Abadi"/>
          <w:sz w:val="28"/>
          <w:szCs w:val="28"/>
        </w:rPr>
        <w:t xml:space="preserve"> – Lograr </w:t>
      </w:r>
      <w:r w:rsidRPr="0011194C">
        <w:rPr>
          <w:rFonts w:ascii="Abadi" w:hAnsi="Abadi"/>
          <w:sz w:val="28"/>
          <w:szCs w:val="28"/>
        </w:rPr>
        <w:t>consistencia en la información financiera</w:t>
      </w:r>
    </w:p>
    <w:p w14:paraId="37E201F3" w14:textId="621746D2" w:rsidR="0011194C" w:rsidRPr="0011194C" w:rsidRDefault="0011194C" w:rsidP="0011194C">
      <w:pPr>
        <w:jc w:val="both"/>
      </w:pPr>
      <w:r w:rsidRPr="0011194C">
        <w:rPr>
          <w:noProof/>
        </w:rPr>
        <w:drawing>
          <wp:inline distT="0" distB="0" distL="0" distR="0" wp14:anchorId="61120052" wp14:editId="457CDC2B">
            <wp:extent cx="5612130" cy="3741420"/>
            <wp:effectExtent l="0" t="0" r="7620" b="0"/>
            <wp:docPr id="6" name="Imagen 6" descr="fechas en XB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echas en XBR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6A554724" w14:textId="3D65ADDA" w:rsidR="006E06E6" w:rsidRPr="0011194C" w:rsidRDefault="006E06E6" w:rsidP="006E06E6">
      <w:pPr>
        <w:jc w:val="both"/>
      </w:pPr>
      <w:r w:rsidRPr="0011194C">
        <w:t>Publicado el 20 de septiembre de 2024 por</w:t>
      </w:r>
      <w:r>
        <w:t xml:space="preserve"> </w:t>
      </w:r>
      <w:hyperlink r:id="rId6" w:history="1">
        <w:r w:rsidRPr="0011194C">
          <w:rPr>
            <w:rStyle w:val="Hipervnculo"/>
            <w:b/>
            <w:bCs/>
          </w:rPr>
          <w:t>Editor</w:t>
        </w:r>
      </w:hyperlink>
    </w:p>
    <w:p w14:paraId="74719294" w14:textId="77777777" w:rsidR="0011194C" w:rsidRPr="0011194C" w:rsidRDefault="0011194C" w:rsidP="0011194C">
      <w:pPr>
        <w:jc w:val="both"/>
      </w:pPr>
      <w:r w:rsidRPr="0011194C">
        <w:t>La creación de informes digitales a menudo implica hacer explícita cierta información que los informes tradicionales, analógicos, dejan implícita. Si bien los lectores humanos pueden inferir el significado a partir del contexto y las convenciones, XBRL requiere que los datos sean precisos e inequívocos para garantizar que las máquinas los interpreten con precisión.</w:t>
      </w:r>
    </w:p>
    <w:p w14:paraId="441126A9" w14:textId="77777777" w:rsidR="0011194C" w:rsidRPr="0011194C" w:rsidRDefault="0011194C" w:rsidP="0011194C">
      <w:pPr>
        <w:jc w:val="both"/>
      </w:pPr>
      <w:r w:rsidRPr="0011194C">
        <w:t>Un área en la que esto cobra especial importancia es en el manejo de fechas y períodos de tiempo. Nuestra última publicación del blog profundiza en este tema en detalle y ofrece información sobre cómo asegurarse de que las fechas en sus informes digitales sean claras.</w:t>
      </w:r>
    </w:p>
    <w:p w14:paraId="6104F4A3" w14:textId="77777777" w:rsidR="0011194C" w:rsidRPr="0011194C" w:rsidRDefault="0011194C" w:rsidP="0011194C">
      <w:pPr>
        <w:jc w:val="both"/>
      </w:pPr>
      <w:r w:rsidRPr="0011194C">
        <w:t>Si bien el software XBRL moderno automatiza gran parte de esto, siempre es bueno que los profesionales de informes comprendan cómo funcionan estos elementos técnicos detrás de escena. Nuestro blog explica cómo se manejan las fechas y los períodos en diferentes formatos XBRL, incluidos Inline XBRL, xBRL-JSON y xBRL-CSV, y lo desglosa con ejemplos prácticos.</w:t>
      </w:r>
    </w:p>
    <w:p w14:paraId="162A09DA" w14:textId="4529406B" w:rsidR="0011194C" w:rsidRPr="0011194C" w:rsidRDefault="0011194C" w:rsidP="0011194C">
      <w:pPr>
        <w:jc w:val="both"/>
      </w:pPr>
      <w:r w:rsidRPr="0011194C">
        <w:t>Para conocer más en detalle cómo XBRL maneja las fechas y por qué es importante, lea el blog completo</w:t>
      </w:r>
      <w:r w:rsidR="006E06E6">
        <w:t xml:space="preserve"> </w:t>
      </w:r>
      <w:hyperlink r:id="rId7" w:tgtFrame="_blank" w:history="1">
        <w:r w:rsidRPr="0011194C">
          <w:rPr>
            <w:rStyle w:val="Hipervnculo"/>
          </w:rPr>
          <w:t>aquí</w:t>
        </w:r>
      </w:hyperlink>
      <w:r w:rsidRPr="0011194C">
        <w:t>.</w:t>
      </w:r>
    </w:p>
    <w:p w14:paraId="65C8B49A" w14:textId="04A728A9" w:rsidR="0011194C" w:rsidRPr="0011194C" w:rsidRDefault="0087568C" w:rsidP="0011194C">
      <w:pPr>
        <w:jc w:val="both"/>
      </w:pPr>
      <w:hyperlink r:id="rId8" w:history="1">
        <w:r w:rsidR="0011194C" w:rsidRPr="0011194C">
          <w:rPr>
            <w:rStyle w:val="Hipervnculo"/>
          </w:rPr>
          <w:t>Fechas</w:t>
        </w:r>
        <w:r>
          <w:rPr>
            <w:rStyle w:val="Hipervnculo"/>
          </w:rPr>
          <w:t xml:space="preserve"> </w:t>
        </w:r>
      </w:hyperlink>
      <w:hyperlink r:id="rId9" w:history="1">
        <w:r w:rsidR="0011194C" w:rsidRPr="0011194C">
          <w:rPr>
            <w:rStyle w:val="Hipervnculo"/>
          </w:rPr>
          <w:t>Reportaje digital</w:t>
        </w:r>
        <w:r>
          <w:rPr>
            <w:rStyle w:val="Hipervnculo"/>
          </w:rPr>
          <w:t xml:space="preserve"> </w:t>
        </w:r>
      </w:hyperlink>
      <w:hyperlink r:id="rId10" w:history="1">
        <w:r w:rsidR="0011194C" w:rsidRPr="0011194C">
          <w:rPr>
            <w:rStyle w:val="Hipervnculo"/>
          </w:rPr>
          <w:t>XII Noticias</w:t>
        </w:r>
      </w:hyperlink>
    </w:p>
    <w:p w14:paraId="5FC571ED" w14:textId="349E59AA" w:rsidR="0011194C" w:rsidRPr="0011194C" w:rsidRDefault="0011194C" w:rsidP="0011194C">
      <w:pPr>
        <w:jc w:val="both"/>
      </w:pPr>
    </w:p>
    <w:p w14:paraId="27FB72CF" w14:textId="08DE19B6" w:rsidR="0011194C" w:rsidRDefault="0011194C" w:rsidP="0011194C">
      <w:pPr>
        <w:jc w:val="both"/>
      </w:pPr>
      <w:r w:rsidRPr="0011194C">
        <w:rPr>
          <w:noProof/>
        </w:rPr>
        <w:lastRenderedPageBreak/>
        <w:drawing>
          <wp:inline distT="0" distB="0" distL="0" distR="0" wp14:anchorId="4B8D19AF" wp14:editId="435BC346">
            <wp:extent cx="5612130" cy="66865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668655"/>
                    </a:xfrm>
                    <a:prstGeom prst="rect">
                      <a:avLst/>
                    </a:prstGeom>
                  </pic:spPr>
                </pic:pic>
              </a:graphicData>
            </a:graphic>
          </wp:inline>
        </w:drawing>
      </w:r>
    </w:p>
    <w:p w14:paraId="796E8791" w14:textId="77777777" w:rsidR="0011194C" w:rsidRPr="0011194C" w:rsidRDefault="0011194C" w:rsidP="0011194C">
      <w:pPr>
        <w:jc w:val="both"/>
        <w:rPr>
          <w:b/>
          <w:bCs/>
        </w:rPr>
      </w:pPr>
      <w:r w:rsidRPr="0011194C">
        <w:rPr>
          <w:b/>
          <w:bCs/>
        </w:rPr>
        <w:t>Fechas en XBRL</w:t>
      </w:r>
    </w:p>
    <w:p w14:paraId="2053CAAD" w14:textId="043E7779" w:rsidR="0011194C" w:rsidRPr="0011194C" w:rsidRDefault="0011194C" w:rsidP="0011194C">
      <w:pPr>
        <w:jc w:val="both"/>
      </w:pPr>
      <w:r w:rsidRPr="0011194C">
        <w:t>Publicado el 29 de agosto de 2024 por</w:t>
      </w:r>
      <w:r w:rsidR="0087568C">
        <w:t xml:space="preserve"> </w:t>
      </w:r>
      <w:hyperlink r:id="rId12" w:history="1">
        <w:r w:rsidRPr="0011194C">
          <w:rPr>
            <w:rStyle w:val="Hipervnculo"/>
            <w:b/>
            <w:bCs/>
          </w:rPr>
          <w:t>Paul Warren</w:t>
        </w:r>
      </w:hyperlink>
    </w:p>
    <w:p w14:paraId="2A2E6069" w14:textId="344FFAA3" w:rsidR="0011194C" w:rsidRPr="0011194C" w:rsidRDefault="0011194C" w:rsidP="0011194C">
      <w:pPr>
        <w:jc w:val="both"/>
      </w:pPr>
      <w:r w:rsidRPr="0011194C">
        <w:rPr>
          <w:noProof/>
        </w:rPr>
        <w:drawing>
          <wp:inline distT="0" distB="0" distL="0" distR="0" wp14:anchorId="1DF7D2B1" wp14:editId="433DC8DF">
            <wp:extent cx="5612130" cy="373634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3736340"/>
                    </a:xfrm>
                    <a:prstGeom prst="rect">
                      <a:avLst/>
                    </a:prstGeom>
                    <a:noFill/>
                    <a:ln>
                      <a:noFill/>
                    </a:ln>
                  </pic:spPr>
                </pic:pic>
              </a:graphicData>
            </a:graphic>
          </wp:inline>
        </w:drawing>
      </w:r>
    </w:p>
    <w:p w14:paraId="503557DD" w14:textId="77777777" w:rsidR="0011194C" w:rsidRPr="0011194C" w:rsidRDefault="0011194C" w:rsidP="0011194C">
      <w:pPr>
        <w:jc w:val="both"/>
      </w:pPr>
      <w:r w:rsidRPr="0011194C">
        <w:t>La creación de informes XBRL requiere con frecuencia hacer explícita información que antes solo era implícita. Los lectores humanos suelen inferir información a partir del contexto y las convenciones, mientras que el objetivo de XBRL es crear datos estructurados independientes y sin ambigüedades.</w:t>
      </w:r>
    </w:p>
    <w:p w14:paraId="29788A36" w14:textId="77777777" w:rsidR="0011194C" w:rsidRPr="0011194C" w:rsidRDefault="0011194C" w:rsidP="0011194C">
      <w:pPr>
        <w:jc w:val="both"/>
      </w:pPr>
      <w:r w:rsidRPr="0011194C">
        <w:t>Un buen ejemplo de esto es el manejo de fechas y períodos de tiempo. Los informes a menudo describen fechas y períodos de informes de manera imprecisa o ambigua de manera aislada. Esto puede llevar fácilmente a una interpretación errónea de la información por parte de una máquina, aunque, en contexto, el significado sea claro para un lector humano. Para garantizar un análisis preciso de un informe por parte del software, es de vital importancia que las fechas se marquen con XBRL de manera coherente, lógica y precisa.</w:t>
      </w:r>
    </w:p>
    <w:p w14:paraId="105AF3B1" w14:textId="77777777" w:rsidR="0011194C" w:rsidRPr="0011194C" w:rsidRDefault="0011194C" w:rsidP="0011194C">
      <w:pPr>
        <w:jc w:val="both"/>
      </w:pPr>
      <w:r w:rsidRPr="0011194C">
        <w:t xml:space="preserve">En este blog, veremos algunos ejemplos de las distintas formas en que se presentan las fechas en informes legibles para humanos y por qué las convenciones que se usan allí pueden causar confusión al crear datos XBRL. También analizaremos cómo funcionan las fechas y los períodos en XBRL y veremos las notaciones que se usan para las fechas en los diferentes formatos XBRL, incluidos Inline XBRL, xBRL-JSON y xBRL-CSV. Este blog abordará detalles técnicos que, por lo general, el software </w:t>
      </w:r>
      <w:r w:rsidRPr="0011194C">
        <w:lastRenderedPageBreak/>
        <w:t>XBRL debería ocultar a los usuarios finales, pero esperamos que proporcione información útil sobre por qué es tan importante convertir las fechas en informes legibles para humanos a datos estructurados.</w:t>
      </w:r>
    </w:p>
    <w:p w14:paraId="0C437803" w14:textId="77777777" w:rsidR="0011194C" w:rsidRPr="0011194C" w:rsidRDefault="0011194C" w:rsidP="0011194C">
      <w:pPr>
        <w:jc w:val="both"/>
      </w:pPr>
      <w:r w:rsidRPr="0011194C">
        <w:t>¿A quién va dirigido? La buena noticia, por supuesto, es que el software XBRL moderno tiende a ocultar estos detalles, pero no está de más que los profesionales de informes externos, contabilidad y auditoría (así como los desarrolladores de software que puedan estar abordando estos temas por primera vez) se familiaricen con los detalles.</w:t>
      </w:r>
    </w:p>
    <w:p w14:paraId="135FD319" w14:textId="77777777" w:rsidR="0011194C" w:rsidRPr="0011194C" w:rsidRDefault="0011194C" w:rsidP="0011194C">
      <w:pPr>
        <w:jc w:val="both"/>
        <w:rPr>
          <w:b/>
          <w:bCs/>
        </w:rPr>
      </w:pPr>
      <w:r w:rsidRPr="0011194C">
        <w:rPr>
          <w:b/>
          <w:bCs/>
        </w:rPr>
        <w:t>Fechas y periodos de tiempo en XBRL</w:t>
      </w:r>
    </w:p>
    <w:p w14:paraId="5E322EE9" w14:textId="77777777" w:rsidR="0011194C" w:rsidRPr="0011194C" w:rsidRDefault="0011194C" w:rsidP="0011194C">
      <w:pPr>
        <w:jc w:val="both"/>
      </w:pPr>
      <w:r w:rsidRPr="0011194C">
        <w:t>Todos los hechos reportados en XBRL deben llevar una fecha como parte de sus metadatos, indicando al software (así como a los lectores humanos) exactamente a qué punto o período de tiempo se refiere el hecho.</w:t>
      </w:r>
    </w:p>
    <w:p w14:paraId="463E8FC3" w14:textId="77777777" w:rsidR="0011194C" w:rsidRPr="0011194C" w:rsidRDefault="0011194C" w:rsidP="0011194C">
      <w:pPr>
        <w:jc w:val="both"/>
      </w:pPr>
      <w:r w:rsidRPr="0011194C">
        <w:t>Consideremos el siguiente estado de flujo de efectivo:</w:t>
      </w:r>
    </w:p>
    <w:p w14:paraId="691E13FD" w14:textId="0E173270" w:rsidR="0011194C" w:rsidRPr="0011194C" w:rsidRDefault="0011194C" w:rsidP="0011194C">
      <w:pPr>
        <w:jc w:val="both"/>
      </w:pPr>
      <w:r w:rsidRPr="0011194C">
        <w:rPr>
          <w:noProof/>
        </w:rPr>
        <w:drawing>
          <wp:inline distT="0" distB="0" distL="0" distR="0" wp14:anchorId="475A7F5B" wp14:editId="744B76BD">
            <wp:extent cx="5612130" cy="2310130"/>
            <wp:effectExtent l="0" t="0" r="7620" b="0"/>
            <wp:docPr id="2" name="Imagen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2310130"/>
                    </a:xfrm>
                    <a:prstGeom prst="rect">
                      <a:avLst/>
                    </a:prstGeom>
                    <a:noFill/>
                    <a:ln>
                      <a:noFill/>
                    </a:ln>
                  </pic:spPr>
                </pic:pic>
              </a:graphicData>
            </a:graphic>
          </wp:inline>
        </w:drawing>
      </w:r>
    </w:p>
    <w:p w14:paraId="41F1BD2F" w14:textId="77777777" w:rsidR="0011194C" w:rsidRPr="0011194C" w:rsidRDefault="0011194C" w:rsidP="0011194C">
      <w:pPr>
        <w:jc w:val="both"/>
      </w:pPr>
      <w:r w:rsidRPr="0011194C">
        <w:t>El estado de cuenta presenta saldos en tres fechas:</w:t>
      </w:r>
    </w:p>
    <w:p w14:paraId="71F3799B" w14:textId="77777777" w:rsidR="0011194C" w:rsidRPr="0011194C" w:rsidRDefault="0011194C" w:rsidP="0011194C">
      <w:pPr>
        <w:numPr>
          <w:ilvl w:val="0"/>
          <w:numId w:val="1"/>
        </w:numPr>
        <w:jc w:val="both"/>
      </w:pPr>
      <w:r w:rsidRPr="0011194C">
        <w:t>1 de abril de 2022</w:t>
      </w:r>
    </w:p>
    <w:p w14:paraId="248D1EBB" w14:textId="77777777" w:rsidR="0011194C" w:rsidRPr="0011194C" w:rsidRDefault="0011194C" w:rsidP="0011194C">
      <w:pPr>
        <w:numPr>
          <w:ilvl w:val="0"/>
          <w:numId w:val="1"/>
        </w:numPr>
        <w:jc w:val="both"/>
      </w:pPr>
      <w:r w:rsidRPr="0011194C">
        <w:t>1 de abril de 2023</w:t>
      </w:r>
    </w:p>
    <w:p w14:paraId="54E0A34E" w14:textId="77777777" w:rsidR="0011194C" w:rsidRPr="0011194C" w:rsidRDefault="0011194C" w:rsidP="0011194C">
      <w:pPr>
        <w:numPr>
          <w:ilvl w:val="0"/>
          <w:numId w:val="1"/>
        </w:numPr>
        <w:jc w:val="both"/>
      </w:pPr>
      <w:r w:rsidRPr="0011194C">
        <w:t>31 de marzo de 2024</w:t>
      </w:r>
    </w:p>
    <w:p w14:paraId="48E5CA17" w14:textId="77777777" w:rsidR="0011194C" w:rsidRPr="0011194C" w:rsidRDefault="0011194C" w:rsidP="0011194C">
      <w:pPr>
        <w:jc w:val="both"/>
      </w:pPr>
      <w:r w:rsidRPr="0011194C">
        <w:t>Pero una fecha se refiere a un día, un período de 24 horas. ¿El saldo se informa al inicio o al final del día indicado? La respuesta es que depende. Para las dos primeras fechas, el informe se refiere al saldo </w:t>
      </w:r>
      <w:r w:rsidRPr="0011194C">
        <w:rPr>
          <w:i/>
          <w:iCs/>
        </w:rPr>
        <w:t>anterior</w:t>
      </w:r>
      <w:r w:rsidRPr="0011194C">
        <w:t> al 1 de abril, mientras que en el tercer caso se refiere al saldo </w:t>
      </w:r>
      <w:r w:rsidRPr="0011194C">
        <w:rPr>
          <w:i/>
          <w:iCs/>
        </w:rPr>
        <w:t>posterior al</w:t>
      </w:r>
      <w:r w:rsidRPr="0011194C">
        <w:t> 31 de marzo. Esta tabla utiliza exactamente el mismo lenguaje ("saldo a") para significar dos cosas diferentes: "saldo anterior" y "saldo posterior". Como lector humano, puedo inferir esto a partir del contexto, pero en XBRL, se espera que los hechos sean inequívocamente comprensibles de forma aislada; no pueden depender del contexto para su significado.</w:t>
      </w:r>
    </w:p>
    <w:p w14:paraId="3286BDA2" w14:textId="77777777" w:rsidR="0011194C" w:rsidRPr="0011194C" w:rsidRDefault="0011194C" w:rsidP="0011194C">
      <w:pPr>
        <w:jc w:val="both"/>
      </w:pPr>
      <w:r w:rsidRPr="0011194C">
        <w:t xml:space="preserve">XBRL elimina esta ambigüedad haciendo referencia siempre a los períodos utilizando tanto fechas como horas, no solo fechas, lo que permite saber explícitamente si estamos hablando del comienzo o del final de un día. XBRL utiliza el estándar ISO8601 para fechas y horas, y todos los períodos se </w:t>
      </w:r>
      <w:r w:rsidRPr="0011194C">
        <w:lastRenderedPageBreak/>
        <w:t>informan utilizando la combinación de una fecha y una hora: una "fecha y hora". Las tres fechas de este informe se representan en XBRL como las siguientes fechas y horas:</w:t>
      </w:r>
    </w:p>
    <w:p w14:paraId="7625AB31" w14:textId="77777777" w:rsidR="0011194C" w:rsidRPr="0011194C" w:rsidRDefault="0011194C" w:rsidP="0011194C">
      <w:pPr>
        <w:numPr>
          <w:ilvl w:val="0"/>
          <w:numId w:val="2"/>
        </w:numPr>
        <w:jc w:val="both"/>
      </w:pPr>
      <w:r w:rsidRPr="0011194C">
        <w:t>01-04-2022 00:00:00</w:t>
      </w:r>
    </w:p>
    <w:p w14:paraId="1E25719C" w14:textId="77777777" w:rsidR="0011194C" w:rsidRPr="0011194C" w:rsidRDefault="0011194C" w:rsidP="0011194C">
      <w:pPr>
        <w:numPr>
          <w:ilvl w:val="0"/>
          <w:numId w:val="2"/>
        </w:numPr>
        <w:jc w:val="both"/>
      </w:pPr>
      <w:r w:rsidRPr="0011194C">
        <w:t>01-04-2023 00:00:00</w:t>
      </w:r>
    </w:p>
    <w:p w14:paraId="1D843C6D" w14:textId="77777777" w:rsidR="0011194C" w:rsidRPr="0011194C" w:rsidRDefault="0011194C" w:rsidP="0011194C">
      <w:pPr>
        <w:numPr>
          <w:ilvl w:val="0"/>
          <w:numId w:val="2"/>
        </w:numPr>
        <w:jc w:val="both"/>
      </w:pPr>
      <w:r w:rsidRPr="0011194C">
        <w:t>01-04-2024 00:00:00</w:t>
      </w:r>
    </w:p>
    <w:p w14:paraId="750ED166" w14:textId="77777777" w:rsidR="0011194C" w:rsidRPr="0011194C" w:rsidRDefault="0011194C" w:rsidP="0011194C">
      <w:pPr>
        <w:jc w:val="both"/>
      </w:pPr>
      <w:r w:rsidRPr="0011194C">
        <w:t>En cada caso, utilizamos la medianoche al comienzo de la fecha indicada. Este es el instante en el que finaliza un período de informe y comienza el siguiente. Lo que estaba implícito en un informe legible para humanos se vuelve explícito en XBRL.</w:t>
      </w:r>
    </w:p>
    <w:p w14:paraId="548431E9" w14:textId="77777777" w:rsidR="0011194C" w:rsidRPr="0011194C" w:rsidRDefault="0011194C" w:rsidP="0011194C">
      <w:pPr>
        <w:jc w:val="both"/>
      </w:pPr>
      <w:r w:rsidRPr="0011194C">
        <w:t>El último caso genera cierta confusión porque la parte de la fecha no coincide directamente con la presentación utilizada en el informe legible por humanos, pero sí refleja con precisión el significado del informe. En realidad, solo hay un instante entre el final de un período de informe y el comienzo del siguiente, pero un informe legible por humanos lo describe de dos maneras diferentes según el contexto y la convención.</w:t>
      </w:r>
    </w:p>
    <w:p w14:paraId="6E7B9B39" w14:textId="77777777" w:rsidR="0011194C" w:rsidRPr="0011194C" w:rsidRDefault="0011194C" w:rsidP="0011194C">
      <w:pPr>
        <w:jc w:val="both"/>
      </w:pPr>
      <w:r w:rsidRPr="0011194C">
        <w:t>Por ejemplo, en otra parte de este mismo informe, tenemos el Estado de Cambios en el Patrimonio:</w:t>
      </w:r>
    </w:p>
    <w:p w14:paraId="16FEC2E9" w14:textId="755989D6" w:rsidR="0011194C" w:rsidRPr="0011194C" w:rsidRDefault="0011194C" w:rsidP="0011194C">
      <w:pPr>
        <w:jc w:val="both"/>
      </w:pPr>
      <w:r w:rsidRPr="0011194C">
        <w:rPr>
          <w:noProof/>
        </w:rPr>
        <w:drawing>
          <wp:inline distT="0" distB="0" distL="0" distR="0" wp14:anchorId="75D4A298" wp14:editId="443661FA">
            <wp:extent cx="5612130" cy="3323590"/>
            <wp:effectExtent l="0" t="0" r="7620" b="0"/>
            <wp:docPr id="1" name="Imagen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3323590"/>
                    </a:xfrm>
                    <a:prstGeom prst="rect">
                      <a:avLst/>
                    </a:prstGeom>
                    <a:noFill/>
                    <a:ln>
                      <a:noFill/>
                    </a:ln>
                  </pic:spPr>
                </pic:pic>
              </a:graphicData>
            </a:graphic>
          </wp:inline>
        </w:drawing>
      </w:r>
    </w:p>
    <w:p w14:paraId="46881905" w14:textId="77777777" w:rsidR="0011194C" w:rsidRPr="0011194C" w:rsidRDefault="0011194C" w:rsidP="0011194C">
      <w:pPr>
        <w:jc w:val="both"/>
      </w:pPr>
      <w:r w:rsidRPr="0011194C">
        <w:t>La estructura de esta tabla es muy similar a la anterior, pero utiliza fechas diferentes:</w:t>
      </w:r>
    </w:p>
    <w:p w14:paraId="6E34AD61" w14:textId="77777777" w:rsidR="0011194C" w:rsidRPr="0011194C" w:rsidRDefault="0011194C" w:rsidP="0011194C">
      <w:pPr>
        <w:numPr>
          <w:ilvl w:val="0"/>
          <w:numId w:val="3"/>
        </w:numPr>
        <w:jc w:val="both"/>
      </w:pPr>
      <w:r w:rsidRPr="0011194C">
        <w:t>31 de marzo de 2022</w:t>
      </w:r>
    </w:p>
    <w:p w14:paraId="75EC56E6" w14:textId="77777777" w:rsidR="0011194C" w:rsidRPr="0011194C" w:rsidRDefault="0011194C" w:rsidP="0011194C">
      <w:pPr>
        <w:numPr>
          <w:ilvl w:val="0"/>
          <w:numId w:val="3"/>
        </w:numPr>
        <w:jc w:val="both"/>
      </w:pPr>
      <w:r w:rsidRPr="0011194C">
        <w:t>31 de marzo de 2023</w:t>
      </w:r>
    </w:p>
    <w:p w14:paraId="06CEAEB8" w14:textId="77777777" w:rsidR="0011194C" w:rsidRPr="0011194C" w:rsidRDefault="0011194C" w:rsidP="0011194C">
      <w:pPr>
        <w:numPr>
          <w:ilvl w:val="0"/>
          <w:numId w:val="3"/>
        </w:numPr>
        <w:jc w:val="both"/>
      </w:pPr>
      <w:r w:rsidRPr="0011194C">
        <w:t>31 de marzo de 2024</w:t>
      </w:r>
    </w:p>
    <w:p w14:paraId="42117161" w14:textId="77777777" w:rsidR="0011194C" w:rsidRPr="0011194C" w:rsidRDefault="0011194C" w:rsidP="0011194C">
      <w:pPr>
        <w:jc w:val="both"/>
      </w:pPr>
      <w:r w:rsidRPr="0011194C">
        <w:lastRenderedPageBreak/>
        <w:t>¿Las cifras de las dos primeras fechas realmente se indican un día antes que las de la tabla anterior? No, esta tabla simplemente utiliza una convención diferente para etiquetar los mismos puntos en el tiempo. En XBRL, se etiquetan de manera consistente utilizando los mismos tres instantes que antes:</w:t>
      </w:r>
    </w:p>
    <w:p w14:paraId="32377A58" w14:textId="77777777" w:rsidR="0011194C" w:rsidRPr="0011194C" w:rsidRDefault="0011194C" w:rsidP="0011194C">
      <w:pPr>
        <w:numPr>
          <w:ilvl w:val="0"/>
          <w:numId w:val="4"/>
        </w:numPr>
        <w:jc w:val="both"/>
      </w:pPr>
      <w:r w:rsidRPr="0011194C">
        <w:t>01-04-2022 00:00:00</w:t>
      </w:r>
    </w:p>
    <w:p w14:paraId="155D4F39" w14:textId="77777777" w:rsidR="0011194C" w:rsidRPr="0011194C" w:rsidRDefault="0011194C" w:rsidP="0011194C">
      <w:pPr>
        <w:numPr>
          <w:ilvl w:val="0"/>
          <w:numId w:val="4"/>
        </w:numPr>
        <w:jc w:val="both"/>
      </w:pPr>
      <w:r w:rsidRPr="0011194C">
        <w:t>01-04-2023 00:00:00</w:t>
      </w:r>
    </w:p>
    <w:p w14:paraId="37B4FB99" w14:textId="77777777" w:rsidR="0011194C" w:rsidRPr="0011194C" w:rsidRDefault="0011194C" w:rsidP="0011194C">
      <w:pPr>
        <w:numPr>
          <w:ilvl w:val="0"/>
          <w:numId w:val="4"/>
        </w:numPr>
        <w:jc w:val="both"/>
      </w:pPr>
      <w:r w:rsidRPr="0011194C">
        <w:t>01-04-2024 00:00:00</w:t>
      </w:r>
    </w:p>
    <w:p w14:paraId="3524F7C5" w14:textId="77777777" w:rsidR="0011194C" w:rsidRPr="0011194C" w:rsidRDefault="0011194C" w:rsidP="0011194C">
      <w:pPr>
        <w:jc w:val="both"/>
        <w:rPr>
          <w:b/>
          <w:bCs/>
        </w:rPr>
      </w:pPr>
      <w:r w:rsidRPr="0011194C">
        <w:rPr>
          <w:b/>
          <w:bCs/>
        </w:rPr>
        <w:t>Instantes y duraciones</w:t>
      </w:r>
    </w:p>
    <w:p w14:paraId="66421C94" w14:textId="77777777" w:rsidR="0011194C" w:rsidRPr="0011194C" w:rsidRDefault="0011194C" w:rsidP="0011194C">
      <w:pPr>
        <w:jc w:val="both"/>
      </w:pPr>
      <w:r w:rsidRPr="0011194C">
        <w:t>Todos los conceptos en XBRL tienen un tipo de período intrínseco, que puede ser “duración” o “instantáneo”. Los conceptos que se informan a partir de un momento en el tiempo, como activos o pasivos, son conceptos “instantáneos” y los hechos para dichos conceptos se informan con una única fecha y hora. Los conceptos que se informan durante un período en el tiempo, como ingresos o ganancias, son conceptos de “duración” y los hechos se informan utilizando un par de fechas y horas que identifican el inicio y el final de la duración.</w:t>
      </w:r>
    </w:p>
    <w:p w14:paraId="114F35B5" w14:textId="77777777" w:rsidR="0011194C" w:rsidRPr="0011194C" w:rsidRDefault="0011194C" w:rsidP="0011194C">
      <w:pPr>
        <w:jc w:val="both"/>
        <w:rPr>
          <w:b/>
          <w:bCs/>
        </w:rPr>
      </w:pPr>
      <w:r w:rsidRPr="0011194C">
        <w:rPr>
          <w:b/>
          <w:bCs/>
        </w:rPr>
        <w:t>Formatos técnicos</w:t>
      </w:r>
    </w:p>
    <w:p w14:paraId="26CC0F5C" w14:textId="77777777" w:rsidR="0011194C" w:rsidRPr="0011194C" w:rsidRDefault="0011194C" w:rsidP="0011194C">
      <w:pPr>
        <w:jc w:val="both"/>
      </w:pPr>
      <w:r w:rsidRPr="0011194C">
        <w:t>A nivel semántico, las fechas y los períodos de tiempo en XBRL son muy simples. XBRL trata todos los hechos como si tuvieran un período de tiempo que puede ser una fecha y hora únicas (que representan un instante) o la duración entre dos fechas y horas.</w:t>
      </w:r>
    </w:p>
    <w:p w14:paraId="7D761582" w14:textId="77777777" w:rsidR="0011194C" w:rsidRPr="0011194C" w:rsidRDefault="0011194C" w:rsidP="0011194C">
      <w:pPr>
        <w:jc w:val="both"/>
      </w:pPr>
      <w:r w:rsidRPr="0011194C">
        <w:t>A nivel sintáctico, los distintos formatos XBRL permiten algunas notaciones adicionales para representar esos períodos de una manera más eficiente o intuitiva. Estas se analizan a continuación.</w:t>
      </w:r>
    </w:p>
    <w:p w14:paraId="36241B4E" w14:textId="77777777" w:rsidR="0011194C" w:rsidRPr="0011194C" w:rsidRDefault="0011194C" w:rsidP="0011194C">
      <w:pPr>
        <w:jc w:val="both"/>
        <w:rPr>
          <w:b/>
          <w:bCs/>
        </w:rPr>
      </w:pPr>
      <w:r w:rsidRPr="0011194C">
        <w:rPr>
          <w:b/>
          <w:bCs/>
        </w:rPr>
        <w:t>Períodos en xBRL-XML y XBRL en línea</w:t>
      </w:r>
    </w:p>
    <w:p w14:paraId="22385B93" w14:textId="77777777" w:rsidR="0011194C" w:rsidRPr="0011194C" w:rsidRDefault="0011194C" w:rsidP="0011194C">
      <w:pPr>
        <w:jc w:val="both"/>
      </w:pPr>
      <w:r w:rsidRPr="0011194C">
        <w:t>La sintaxis XML original de XBRL 2.1 (ahora denominada “xBRL-XML”) y Inline XBRL permiten representar períodos como fechas y horas ISO8601, pero también permiten una notación abreviada para informar períodos utilizando solo fechas.</w:t>
      </w:r>
    </w:p>
    <w:p w14:paraId="671DE0E1" w14:textId="77777777" w:rsidR="0011194C" w:rsidRPr="0011194C" w:rsidRDefault="0011194C" w:rsidP="0011194C">
      <w:pPr>
        <w:jc w:val="both"/>
      </w:pPr>
      <w:r w:rsidRPr="0011194C">
        <w:t>Al informar un instante mediante una fecha, se interpreta que se refiere al final de la fecha indicada, por lo que los siguientes son completamente equivalentes:</w:t>
      </w:r>
    </w:p>
    <w:p w14:paraId="004906B6" w14:textId="77777777" w:rsidR="0011194C" w:rsidRPr="0011194C" w:rsidRDefault="0011194C" w:rsidP="0011194C">
      <w:pPr>
        <w:jc w:val="both"/>
      </w:pPr>
      <w:r w:rsidRPr="0011194C">
        <w:t>&lt;período&gt;</w:t>
      </w:r>
    </w:p>
    <w:p w14:paraId="0C9327F9" w14:textId="77777777" w:rsidR="0011194C" w:rsidRPr="0011194C" w:rsidRDefault="0011194C" w:rsidP="0011194C">
      <w:pPr>
        <w:jc w:val="both"/>
      </w:pPr>
      <w:r w:rsidRPr="0011194C">
        <w:t xml:space="preserve">  &lt;instantáneo&gt;31-03-2024&lt;/instantáneo&gt;</w:t>
      </w:r>
    </w:p>
    <w:p w14:paraId="04712340" w14:textId="77777777" w:rsidR="0011194C" w:rsidRPr="0011194C" w:rsidRDefault="0011194C" w:rsidP="0011194C">
      <w:pPr>
        <w:jc w:val="both"/>
      </w:pPr>
      <w:r w:rsidRPr="0011194C">
        <w:t>&lt;/período&gt;</w:t>
      </w:r>
    </w:p>
    <w:p w14:paraId="0361FB0D" w14:textId="77777777" w:rsidR="0011194C" w:rsidRPr="0011194C" w:rsidRDefault="0011194C" w:rsidP="0011194C">
      <w:pPr>
        <w:jc w:val="both"/>
      </w:pPr>
      <w:r w:rsidRPr="0011194C">
        <w:t>&lt;período&gt;</w:t>
      </w:r>
    </w:p>
    <w:p w14:paraId="60E8DDC4" w14:textId="77777777" w:rsidR="0011194C" w:rsidRPr="0011194C" w:rsidRDefault="0011194C" w:rsidP="0011194C">
      <w:pPr>
        <w:jc w:val="both"/>
      </w:pPr>
      <w:r w:rsidRPr="0011194C">
        <w:t xml:space="preserve">  &lt;instant&gt;2024-04-01T00:00:00&lt;/instant&gt;</w:t>
      </w:r>
    </w:p>
    <w:p w14:paraId="60909C68" w14:textId="77777777" w:rsidR="0011194C" w:rsidRPr="0011194C" w:rsidRDefault="0011194C" w:rsidP="0011194C">
      <w:pPr>
        <w:jc w:val="both"/>
      </w:pPr>
      <w:r w:rsidRPr="0011194C">
        <w:t>&lt;/período&gt;</w:t>
      </w:r>
    </w:p>
    <w:p w14:paraId="26CD2823" w14:textId="77777777" w:rsidR="0011194C" w:rsidRPr="0011194C" w:rsidRDefault="0011194C" w:rsidP="0011194C">
      <w:pPr>
        <w:jc w:val="both"/>
      </w:pPr>
      <w:r w:rsidRPr="0011194C">
        <w:t>Al informar una duración mediante fechas, la fecha de inicio se interpreta como una referencia al inicio del día y la fecha de finalización se refiere al final del día indicado, por lo que las dos siguientes son equivalentes:</w:t>
      </w:r>
    </w:p>
    <w:p w14:paraId="27897ED7" w14:textId="77777777" w:rsidR="0011194C" w:rsidRPr="0011194C" w:rsidRDefault="0011194C" w:rsidP="0011194C">
      <w:pPr>
        <w:jc w:val="both"/>
      </w:pPr>
      <w:r w:rsidRPr="0011194C">
        <w:lastRenderedPageBreak/>
        <w:t>&lt;período&gt;</w:t>
      </w:r>
    </w:p>
    <w:p w14:paraId="60D3B374" w14:textId="77777777" w:rsidR="0011194C" w:rsidRPr="0011194C" w:rsidRDefault="0011194C" w:rsidP="0011194C">
      <w:pPr>
        <w:jc w:val="both"/>
      </w:pPr>
      <w:r w:rsidRPr="0011194C">
        <w:t xml:space="preserve">  &lt;fecha de inicio&gt;01 de abril de 2023&lt;/fecha de inicio&gt;</w:t>
      </w:r>
    </w:p>
    <w:p w14:paraId="34984F92" w14:textId="77777777" w:rsidR="0011194C" w:rsidRPr="0011194C" w:rsidRDefault="0011194C" w:rsidP="0011194C">
      <w:pPr>
        <w:jc w:val="both"/>
      </w:pPr>
      <w:r w:rsidRPr="0011194C">
        <w:t xml:space="preserve">  &lt;</w:t>
      </w:r>
      <w:proofErr w:type="spellStart"/>
      <w:r w:rsidRPr="0011194C">
        <w:t>fecha_final</w:t>
      </w:r>
      <w:proofErr w:type="spellEnd"/>
      <w:r w:rsidRPr="0011194C">
        <w:t>&gt;31-03-2024&lt;/</w:t>
      </w:r>
      <w:proofErr w:type="spellStart"/>
      <w:r w:rsidRPr="0011194C">
        <w:t>fecha_final</w:t>
      </w:r>
      <w:proofErr w:type="spellEnd"/>
      <w:r w:rsidRPr="0011194C">
        <w:t>&gt;</w:t>
      </w:r>
    </w:p>
    <w:p w14:paraId="52315321" w14:textId="77777777" w:rsidR="0011194C" w:rsidRPr="0011194C" w:rsidRDefault="0011194C" w:rsidP="0011194C">
      <w:pPr>
        <w:jc w:val="both"/>
      </w:pPr>
      <w:r w:rsidRPr="0011194C">
        <w:t>&lt;/período&gt;</w:t>
      </w:r>
    </w:p>
    <w:p w14:paraId="494EF094" w14:textId="77777777" w:rsidR="0011194C" w:rsidRPr="0011194C" w:rsidRDefault="0011194C" w:rsidP="0011194C">
      <w:pPr>
        <w:jc w:val="both"/>
      </w:pPr>
      <w:r w:rsidRPr="0011194C">
        <w:t>&lt;período&gt;</w:t>
      </w:r>
    </w:p>
    <w:p w14:paraId="74704490" w14:textId="77777777" w:rsidR="0011194C" w:rsidRPr="0011194C" w:rsidRDefault="0011194C" w:rsidP="0011194C">
      <w:pPr>
        <w:jc w:val="both"/>
      </w:pPr>
      <w:r w:rsidRPr="0011194C">
        <w:t xml:space="preserve">  &lt;fecha de inicio&gt;2023-04-01T00:00:00&lt;/fecha de inicio&gt;</w:t>
      </w:r>
    </w:p>
    <w:p w14:paraId="1203509C" w14:textId="77777777" w:rsidR="0011194C" w:rsidRPr="0011194C" w:rsidRDefault="0011194C" w:rsidP="0011194C">
      <w:pPr>
        <w:jc w:val="both"/>
      </w:pPr>
      <w:r w:rsidRPr="0011194C">
        <w:t xml:space="preserve">  &lt;</w:t>
      </w:r>
      <w:proofErr w:type="spellStart"/>
      <w:r w:rsidRPr="0011194C">
        <w:t>fecha_final</w:t>
      </w:r>
      <w:proofErr w:type="spellEnd"/>
      <w:r w:rsidRPr="0011194C">
        <w:t>&gt;2024-04-01T00:00:00&lt;/</w:t>
      </w:r>
      <w:proofErr w:type="spellStart"/>
      <w:r w:rsidRPr="0011194C">
        <w:t>fecha_final</w:t>
      </w:r>
      <w:proofErr w:type="spellEnd"/>
      <w:r w:rsidRPr="0011194C">
        <w:t>&gt;</w:t>
      </w:r>
    </w:p>
    <w:p w14:paraId="243833BC" w14:textId="77777777" w:rsidR="0011194C" w:rsidRPr="0011194C" w:rsidRDefault="0011194C" w:rsidP="0011194C">
      <w:pPr>
        <w:jc w:val="both"/>
      </w:pPr>
      <w:r w:rsidRPr="0011194C">
        <w:t>&lt;/período&gt;</w:t>
      </w:r>
    </w:p>
    <w:p w14:paraId="1B257C94" w14:textId="77777777" w:rsidR="0011194C" w:rsidRPr="0011194C" w:rsidRDefault="0011194C" w:rsidP="0011194C">
      <w:pPr>
        <w:jc w:val="both"/>
      </w:pPr>
      <w:r w:rsidRPr="0011194C">
        <w:t>La diferente interpretación que se aplica a las fechas de inicio intenta reflejar la convención humana de describir períodos utilizando fechas inclusivas. En el lenguaje corriente, se entiende que “del 1 de abril de 2023 al 31 de marzo de 2024” significa el período de un año que incluye ambas fechas.</w:t>
      </w:r>
    </w:p>
    <w:p w14:paraId="082905F9" w14:textId="77777777" w:rsidR="0011194C" w:rsidRPr="0011194C" w:rsidRDefault="0011194C" w:rsidP="0011194C">
      <w:pPr>
        <w:jc w:val="both"/>
      </w:pPr>
      <w:r w:rsidRPr="0011194C">
        <w:t>Desafortunadamente, este enfoque ha creado mucha confusión y muchos errores de etiquetado, porque la misma fecha denota una fecha y hora diferente según el elemento en el que aparece.</w:t>
      </w:r>
    </w:p>
    <w:p w14:paraId="28D6CA85" w14:textId="77777777" w:rsidR="0011194C" w:rsidRPr="0011194C" w:rsidRDefault="0011194C" w:rsidP="0011194C">
      <w:pPr>
        <w:jc w:val="both"/>
      </w:pPr>
      <w:r w:rsidRPr="0011194C">
        <w:t>Por ejemplo, un saldo de apertura informado “al 1 de abril” a veces se etiqueta incorrectamente como:</w:t>
      </w:r>
    </w:p>
    <w:p w14:paraId="53241879" w14:textId="77777777" w:rsidR="0011194C" w:rsidRPr="0011194C" w:rsidRDefault="0011194C" w:rsidP="0011194C">
      <w:pPr>
        <w:jc w:val="both"/>
      </w:pPr>
      <w:r w:rsidRPr="0011194C">
        <w:t>&lt;período&gt;</w:t>
      </w:r>
    </w:p>
    <w:p w14:paraId="2ACBB0BA" w14:textId="77777777" w:rsidR="0011194C" w:rsidRPr="0011194C" w:rsidRDefault="0011194C" w:rsidP="0011194C">
      <w:pPr>
        <w:jc w:val="both"/>
      </w:pPr>
      <w:r w:rsidRPr="0011194C">
        <w:t xml:space="preserve">  &lt;instantáneo&gt;01-04-2023&lt;/instantáneo&gt;</w:t>
      </w:r>
    </w:p>
    <w:p w14:paraId="63479015" w14:textId="77777777" w:rsidR="0011194C" w:rsidRPr="0011194C" w:rsidRDefault="0011194C" w:rsidP="0011194C">
      <w:pPr>
        <w:jc w:val="both"/>
      </w:pPr>
      <w:r w:rsidRPr="0011194C">
        <w:t>&lt;/período&gt;</w:t>
      </w:r>
    </w:p>
    <w:p w14:paraId="4B6F5E87" w14:textId="77777777" w:rsidR="0011194C" w:rsidRPr="0011194C" w:rsidRDefault="0011194C" w:rsidP="0011194C">
      <w:pPr>
        <w:jc w:val="both"/>
      </w:pPr>
      <w:r w:rsidRPr="0011194C">
        <w:t>Esto se interpreta como el final del 1 de abril, 24 horas demasiado tarde. Aunque estos errores de etiquetado se han vuelto menos comunes a medida que el software ha mejorado, el uso de fechas simples los invita a cometerlos.</w:t>
      </w:r>
    </w:p>
    <w:p w14:paraId="0A8A4646" w14:textId="77777777" w:rsidR="0011194C" w:rsidRPr="0011194C" w:rsidRDefault="0011194C" w:rsidP="0011194C">
      <w:pPr>
        <w:jc w:val="both"/>
      </w:pPr>
      <w:r w:rsidRPr="0011194C">
        <w:t>La realidad es que los informes legibles por humanos a menudo describen fechas de una manera que es ambigua de forma aislada, y es necesario comprender correctamente lo que significan para poder etiquetarlos en XBRL.</w:t>
      </w:r>
    </w:p>
    <w:p w14:paraId="75B6AE1D" w14:textId="77777777" w:rsidR="0011194C" w:rsidRPr="0011194C" w:rsidRDefault="0011194C" w:rsidP="0011194C">
      <w:pPr>
        <w:jc w:val="both"/>
        <w:rPr>
          <w:b/>
          <w:bCs/>
        </w:rPr>
      </w:pPr>
      <w:r w:rsidRPr="0011194C">
        <w:rPr>
          <w:b/>
          <w:bCs/>
        </w:rPr>
        <w:t>Períodos en xBRL-JSON</w:t>
      </w:r>
    </w:p>
    <w:p w14:paraId="7C4281B2" w14:textId="77777777" w:rsidR="0011194C" w:rsidRPr="0011194C" w:rsidRDefault="0011194C" w:rsidP="0011194C">
      <w:pPr>
        <w:jc w:val="both"/>
      </w:pPr>
      <w:r w:rsidRPr="0011194C">
        <w:t>En 2021 se publicaron dos nuevos formatos para datos XBRL: xBRL-JSON y xBRL-CSV. Estos formatos comparten un modelo de datos común (“The Open Information Model”) que es compatible con xBRL-XML.</w:t>
      </w:r>
    </w:p>
    <w:p w14:paraId="1E7690E9" w14:textId="77777777" w:rsidR="0011194C" w:rsidRPr="0011194C" w:rsidRDefault="0011194C" w:rsidP="0011194C">
      <w:pPr>
        <w:jc w:val="both"/>
      </w:pPr>
      <w:r w:rsidRPr="0011194C">
        <w:t>xBRL-JSON está diseñado para que el software lo pueda consumir fácilmente y, para ello, requiere que todos los períodos se informen de forma coherente utilizando fechas y horas completas. Un hecho instantáneo se informaría utilizando una propiedad de período, de la siguiente manera:</w:t>
      </w:r>
    </w:p>
    <w:p w14:paraId="45A20F3D" w14:textId="77777777" w:rsidR="0011194C" w:rsidRPr="0011194C" w:rsidRDefault="0011194C" w:rsidP="0011194C">
      <w:pPr>
        <w:jc w:val="both"/>
      </w:pPr>
      <w:r w:rsidRPr="0011194C">
        <w:t>"período": "2024-04-01T00:00:00"</w:t>
      </w:r>
    </w:p>
    <w:p w14:paraId="752F73C5" w14:textId="77777777" w:rsidR="0011194C" w:rsidRPr="0011194C" w:rsidRDefault="0011194C" w:rsidP="0011194C">
      <w:pPr>
        <w:jc w:val="both"/>
      </w:pPr>
      <w:r w:rsidRPr="0011194C">
        <w:t>Un hecho de duración se informa utilizando un par de fechas y horas:</w:t>
      </w:r>
    </w:p>
    <w:p w14:paraId="387939E3" w14:textId="77777777" w:rsidR="0011194C" w:rsidRPr="0011194C" w:rsidRDefault="0011194C" w:rsidP="0011194C">
      <w:pPr>
        <w:jc w:val="both"/>
      </w:pPr>
      <w:r w:rsidRPr="0011194C">
        <w:lastRenderedPageBreak/>
        <w:t>"período": "2023-04-01T00:00:00/2024-04-01T00:00:00"</w:t>
      </w:r>
    </w:p>
    <w:p w14:paraId="1DAE93E8" w14:textId="77777777" w:rsidR="0011194C" w:rsidRPr="0011194C" w:rsidRDefault="0011194C" w:rsidP="0011194C">
      <w:pPr>
        <w:jc w:val="both"/>
      </w:pPr>
      <w:r w:rsidRPr="0011194C">
        <w:t>No existe la opción de usar fechas abreviadas en xBRL-JSON. Esto simplifica el uso del software y reduce significativamente las posibilidades de errores de etiquetado.</w:t>
      </w:r>
    </w:p>
    <w:p w14:paraId="4D6CE7F9" w14:textId="77777777" w:rsidR="0011194C" w:rsidRPr="0011194C" w:rsidRDefault="0011194C" w:rsidP="0011194C">
      <w:pPr>
        <w:jc w:val="both"/>
        <w:rPr>
          <w:b/>
          <w:bCs/>
        </w:rPr>
      </w:pPr>
      <w:r w:rsidRPr="0011194C">
        <w:rPr>
          <w:b/>
          <w:bCs/>
        </w:rPr>
        <w:t>Períodos en xBRL-CSV</w:t>
      </w:r>
    </w:p>
    <w:p w14:paraId="660C1A3D" w14:textId="77777777" w:rsidR="0011194C" w:rsidRPr="0011194C" w:rsidRDefault="0011194C" w:rsidP="0011194C">
      <w:pPr>
        <w:jc w:val="both"/>
      </w:pPr>
      <w:r w:rsidRPr="0011194C">
        <w:t>xBRL-CSV permite informar datos XBRL en formato CSV. xBRL-CSV está diseñado para permitir una representación flexible y compacta de los datos y, para este fin, permite una variedad de formatos de períodos abreviados que se pueden utilizar en datos CSV, además de los mismos formatos explícitos admitidos por xBRL-JSON.</w:t>
      </w:r>
    </w:p>
    <w:p w14:paraId="79578DBE" w14:textId="77777777" w:rsidR="0011194C" w:rsidRPr="0011194C" w:rsidRDefault="0011194C" w:rsidP="0011194C">
      <w:pPr>
        <w:jc w:val="both"/>
      </w:pPr>
      <w:r w:rsidRPr="0011194C">
        <w:t>Por ejemplo, se puede especificar un período inclusivo utilizando un par de fechas combinadas con “..”, por lo que los dos siguientes son equivalentes:</w:t>
      </w:r>
    </w:p>
    <w:p w14:paraId="2EE5AE55" w14:textId="6B7A0F02" w:rsidR="0011194C" w:rsidRPr="0011194C" w:rsidRDefault="0011194C" w:rsidP="0011194C">
      <w:pPr>
        <w:numPr>
          <w:ilvl w:val="0"/>
          <w:numId w:val="5"/>
        </w:numPr>
        <w:jc w:val="both"/>
      </w:pPr>
      <w:r w:rsidRPr="0011194C">
        <w:t>01-04-2023.31-03-2024</w:t>
      </w:r>
    </w:p>
    <w:p w14:paraId="3C5DB38B" w14:textId="77777777" w:rsidR="0011194C" w:rsidRPr="0011194C" w:rsidRDefault="0011194C" w:rsidP="0011194C">
      <w:pPr>
        <w:numPr>
          <w:ilvl w:val="0"/>
          <w:numId w:val="5"/>
        </w:numPr>
        <w:jc w:val="both"/>
      </w:pPr>
      <w:r w:rsidRPr="0011194C">
        <w:t>2023-04-01T00:00:00/2024-04-01T00:00:00</w:t>
      </w:r>
    </w:p>
    <w:p w14:paraId="71BDABF7" w14:textId="77777777" w:rsidR="0011194C" w:rsidRPr="0011194C" w:rsidRDefault="0011194C" w:rsidP="0011194C">
      <w:pPr>
        <w:jc w:val="both"/>
      </w:pPr>
      <w:r w:rsidRPr="0011194C">
        <w:t>Se puede especificar un año calendario utilizando solo el año, por lo que los siguientes son todos equivalentes:</w:t>
      </w:r>
    </w:p>
    <w:p w14:paraId="147B2615" w14:textId="77777777" w:rsidR="0011194C" w:rsidRPr="0011194C" w:rsidRDefault="0011194C" w:rsidP="0011194C">
      <w:pPr>
        <w:numPr>
          <w:ilvl w:val="0"/>
          <w:numId w:val="6"/>
        </w:numPr>
        <w:jc w:val="both"/>
      </w:pPr>
      <w:r w:rsidRPr="0011194C">
        <w:t>2023</w:t>
      </w:r>
    </w:p>
    <w:p w14:paraId="5370B723" w14:textId="449EA674" w:rsidR="0011194C" w:rsidRPr="0011194C" w:rsidRDefault="0011194C" w:rsidP="0011194C">
      <w:pPr>
        <w:numPr>
          <w:ilvl w:val="0"/>
          <w:numId w:val="6"/>
        </w:numPr>
        <w:jc w:val="both"/>
      </w:pPr>
      <w:r w:rsidRPr="0011194C">
        <w:t>01-01-2023.31-12-2023</w:t>
      </w:r>
    </w:p>
    <w:p w14:paraId="262EACCE" w14:textId="77777777" w:rsidR="0011194C" w:rsidRPr="0011194C" w:rsidRDefault="0011194C" w:rsidP="0011194C">
      <w:pPr>
        <w:numPr>
          <w:ilvl w:val="0"/>
          <w:numId w:val="6"/>
        </w:numPr>
        <w:jc w:val="both"/>
      </w:pPr>
      <w:r w:rsidRPr="0011194C">
        <w:t>2023-01-01T00:00:00/2024-01-01T00:00:00</w:t>
      </w:r>
    </w:p>
    <w:p w14:paraId="67A834AC" w14:textId="77777777" w:rsidR="0011194C" w:rsidRPr="0011194C" w:rsidRDefault="0011194C" w:rsidP="0011194C">
      <w:pPr>
        <w:jc w:val="both"/>
      </w:pPr>
      <w:r w:rsidRPr="0011194C">
        <w:t>xBRL-CSV permite el uso de fechas únicas, pero estas representan una duración de un día, no de un instante. Por ejemplo, las dos siguientes son equivalentes y ambas especifican una duración de 24 horas:</w:t>
      </w:r>
    </w:p>
    <w:p w14:paraId="3AF9A285" w14:textId="77777777" w:rsidR="0011194C" w:rsidRPr="0011194C" w:rsidRDefault="0011194C" w:rsidP="0011194C">
      <w:pPr>
        <w:numPr>
          <w:ilvl w:val="0"/>
          <w:numId w:val="7"/>
        </w:numPr>
        <w:jc w:val="both"/>
      </w:pPr>
      <w:r w:rsidRPr="0011194C">
        <w:t>01-04-2023</w:t>
      </w:r>
    </w:p>
    <w:p w14:paraId="15DCA1B5" w14:textId="77777777" w:rsidR="0011194C" w:rsidRPr="0011194C" w:rsidRDefault="0011194C" w:rsidP="0011194C">
      <w:pPr>
        <w:numPr>
          <w:ilvl w:val="0"/>
          <w:numId w:val="7"/>
        </w:numPr>
        <w:jc w:val="both"/>
      </w:pPr>
      <w:r w:rsidRPr="0011194C">
        <w:t>2023-04-01T00:00:00/2023-04-02T00:00:00</w:t>
      </w:r>
    </w:p>
    <w:p w14:paraId="4C346AFB" w14:textId="77777777" w:rsidR="0011194C" w:rsidRPr="0011194C" w:rsidRDefault="0011194C" w:rsidP="0011194C">
      <w:pPr>
        <w:jc w:val="both"/>
      </w:pPr>
      <w:r w:rsidRPr="0011194C">
        <w:t>Al definir el período de un hecho instantáneo, este se puede definir explícitamente utilizando una única fecha y hora, como en xBRL-JSON, o se puede tomar a partir del instante de inicio o fin de una duración. Por ejemplo, los siguientes son todos equivalentes:</w:t>
      </w:r>
    </w:p>
    <w:p w14:paraId="11F8EAF0" w14:textId="77777777" w:rsidR="0011194C" w:rsidRPr="0011194C" w:rsidRDefault="0011194C" w:rsidP="0011194C">
      <w:pPr>
        <w:numPr>
          <w:ilvl w:val="0"/>
          <w:numId w:val="8"/>
        </w:numPr>
        <w:jc w:val="both"/>
      </w:pPr>
      <w:r w:rsidRPr="0011194C">
        <w:t>2023@fin</w:t>
      </w:r>
    </w:p>
    <w:p w14:paraId="1559C52B" w14:textId="77777777" w:rsidR="0011194C" w:rsidRPr="0011194C" w:rsidRDefault="0011194C" w:rsidP="0011194C">
      <w:pPr>
        <w:numPr>
          <w:ilvl w:val="0"/>
          <w:numId w:val="8"/>
        </w:numPr>
        <w:jc w:val="both"/>
      </w:pPr>
      <w:r w:rsidRPr="0011194C">
        <w:t>31-12-2023@fin</w:t>
      </w:r>
    </w:p>
    <w:p w14:paraId="2FEDBD24" w14:textId="77777777" w:rsidR="0011194C" w:rsidRPr="0011194C" w:rsidRDefault="0011194C" w:rsidP="0011194C">
      <w:pPr>
        <w:numPr>
          <w:ilvl w:val="0"/>
          <w:numId w:val="8"/>
        </w:numPr>
        <w:jc w:val="both"/>
      </w:pPr>
      <w:r w:rsidRPr="0011194C">
        <w:t>01-01-2024@inicio</w:t>
      </w:r>
    </w:p>
    <w:p w14:paraId="4E7DE299" w14:textId="77777777" w:rsidR="0011194C" w:rsidRPr="0011194C" w:rsidRDefault="0011194C" w:rsidP="0011194C">
      <w:pPr>
        <w:numPr>
          <w:ilvl w:val="0"/>
          <w:numId w:val="8"/>
        </w:numPr>
        <w:jc w:val="both"/>
      </w:pPr>
      <w:r w:rsidRPr="0011194C">
        <w:t>01-01-2024 00:00:00</w:t>
      </w:r>
    </w:p>
    <w:p w14:paraId="4E6ADD39" w14:textId="77777777" w:rsidR="0011194C" w:rsidRPr="0011194C" w:rsidRDefault="0011194C" w:rsidP="0011194C">
      <w:pPr>
        <w:jc w:val="both"/>
      </w:pPr>
      <w:r w:rsidRPr="0011194C">
        <w:t>Similarmente:</w:t>
      </w:r>
    </w:p>
    <w:p w14:paraId="74B5C525" w14:textId="77777777" w:rsidR="0011194C" w:rsidRPr="0011194C" w:rsidRDefault="0011194C" w:rsidP="0011194C">
      <w:pPr>
        <w:numPr>
          <w:ilvl w:val="0"/>
          <w:numId w:val="9"/>
        </w:numPr>
        <w:jc w:val="both"/>
      </w:pPr>
      <w:r w:rsidRPr="0011194C">
        <w:t>2023@inicio</w:t>
      </w:r>
    </w:p>
    <w:p w14:paraId="7C591CCA" w14:textId="77777777" w:rsidR="0011194C" w:rsidRPr="0011194C" w:rsidRDefault="0011194C" w:rsidP="0011194C">
      <w:pPr>
        <w:numPr>
          <w:ilvl w:val="0"/>
          <w:numId w:val="9"/>
        </w:numPr>
        <w:jc w:val="both"/>
      </w:pPr>
      <w:r w:rsidRPr="0011194C">
        <w:t>01-01-2023@inicio</w:t>
      </w:r>
    </w:p>
    <w:p w14:paraId="01B2776F" w14:textId="77777777" w:rsidR="0011194C" w:rsidRPr="0011194C" w:rsidRDefault="0011194C" w:rsidP="0011194C">
      <w:pPr>
        <w:numPr>
          <w:ilvl w:val="0"/>
          <w:numId w:val="9"/>
        </w:numPr>
        <w:jc w:val="both"/>
      </w:pPr>
      <w:r w:rsidRPr="0011194C">
        <w:lastRenderedPageBreak/>
        <w:t>31-12-2022@fin</w:t>
      </w:r>
    </w:p>
    <w:p w14:paraId="369C8F27" w14:textId="77777777" w:rsidR="0011194C" w:rsidRPr="0011194C" w:rsidRDefault="0011194C" w:rsidP="0011194C">
      <w:pPr>
        <w:numPr>
          <w:ilvl w:val="0"/>
          <w:numId w:val="9"/>
        </w:numPr>
        <w:jc w:val="both"/>
      </w:pPr>
      <w:r w:rsidRPr="0011194C">
        <w:t>01-01-2023 00:00:00</w:t>
      </w:r>
    </w:p>
    <w:p w14:paraId="2F2C9CFE" w14:textId="77777777" w:rsidR="0011194C" w:rsidRPr="0011194C" w:rsidRDefault="0011194C" w:rsidP="0011194C">
      <w:pPr>
        <w:jc w:val="both"/>
      </w:pPr>
      <w:r w:rsidRPr="0011194C">
        <w:t>xBRL-CSV utiliza metadatos que definen cómo los datos de un informe CSV se asignan a los datos XBRL, y los selectores “@start” y “@</w:t>
      </w:r>
      <w:proofErr w:type="spellStart"/>
      <w:r w:rsidRPr="0011194C">
        <w:t>end</w:t>
      </w:r>
      <w:proofErr w:type="spellEnd"/>
      <w:r w:rsidRPr="0011194C">
        <w:t>” se utilizan con más frecuencia en esos metadatos, ya que se aplican a todas las fechas de una columna y permiten generar informes eficientes e intuitivos. Por ejemplo, los metadatos podrían decir:</w:t>
      </w:r>
    </w:p>
    <w:p w14:paraId="5D8F943D" w14:textId="77777777" w:rsidR="0011194C" w:rsidRPr="0011194C" w:rsidRDefault="0011194C" w:rsidP="0011194C">
      <w:pPr>
        <w:numPr>
          <w:ilvl w:val="0"/>
          <w:numId w:val="10"/>
        </w:numPr>
        <w:jc w:val="both"/>
      </w:pPr>
      <w:r w:rsidRPr="0011194C">
        <w:t>$</w:t>
      </w:r>
      <w:proofErr w:type="spellStart"/>
      <w:r w:rsidRPr="0011194C">
        <w:t>refDate@fin</w:t>
      </w:r>
      <w:proofErr w:type="spellEnd"/>
    </w:p>
    <w:p w14:paraId="6836CB70" w14:textId="77777777" w:rsidR="0011194C" w:rsidRPr="0011194C" w:rsidRDefault="0011194C" w:rsidP="0011194C">
      <w:pPr>
        <w:jc w:val="both"/>
      </w:pPr>
      <w:r w:rsidRPr="0011194C">
        <w:t>y esto significaría “tomar el instante al final de la duración informada en la columna 'refDate'”. La columna 'refDate' podría entonces informar una fecha, como “2023-12-31”, y esto se interpretaría como el instante al final del 31 de diciembre de 2023.</w:t>
      </w:r>
    </w:p>
    <w:p w14:paraId="19277B61" w14:textId="77777777" w:rsidR="0011194C" w:rsidRPr="0011194C" w:rsidRDefault="0011194C" w:rsidP="0011194C">
      <w:pPr>
        <w:jc w:val="both"/>
        <w:rPr>
          <w:b/>
          <w:bCs/>
        </w:rPr>
      </w:pPr>
      <w:r w:rsidRPr="0011194C">
        <w:rPr>
          <w:b/>
          <w:bCs/>
        </w:rPr>
        <w:t>Sintaxis vs visualización</w:t>
      </w:r>
    </w:p>
    <w:p w14:paraId="1AB4FD1A" w14:textId="77777777" w:rsidR="0011194C" w:rsidRPr="0011194C" w:rsidRDefault="0011194C" w:rsidP="0011194C">
      <w:pPr>
        <w:jc w:val="both"/>
      </w:pPr>
      <w:r w:rsidRPr="0011194C">
        <w:t>Debo enfatizar que esta publicación del blog trata sobre los formatos técnicos utilizados para los períodos en los informes XBRL con el fin de permitir que el software utilice esos datos de manera inequívoca. El software que presenta datos XBRL a los usuarios puede y debe utilizar los formatos que sean más claros e intuitivos para esos usuarios. Por ejemplo, el software puede (y probablemente debería) mostrar “2023-01-01T00:00:00/2024-01-01T00:00:00” como algo así como “1 de enero de 2023 a 31 de diciembre de 2023” o un equivalente que utilice convenciones y lenguaje localizados. De manera similar, el software de creación de informes XBRL se encargará de convertir las fechas legibles por humanos al formato técnico correcto requerido por XBRL.</w:t>
      </w:r>
    </w:p>
    <w:p w14:paraId="2C5E7F26" w14:textId="77777777" w:rsidR="0011194C" w:rsidRPr="0011194C" w:rsidRDefault="0011194C" w:rsidP="0011194C">
      <w:pPr>
        <w:jc w:val="both"/>
        <w:rPr>
          <w:b/>
          <w:bCs/>
        </w:rPr>
      </w:pPr>
      <w:r w:rsidRPr="0011194C">
        <w:rPr>
          <w:b/>
          <w:bCs/>
        </w:rPr>
        <w:t>¿Qué pasa con T24:00:00?</w:t>
      </w:r>
    </w:p>
    <w:p w14:paraId="4040B131" w14:textId="77777777" w:rsidR="0011194C" w:rsidRPr="0011194C" w:rsidRDefault="0011194C" w:rsidP="0011194C">
      <w:pPr>
        <w:jc w:val="both"/>
      </w:pPr>
      <w:r w:rsidRPr="0011194C">
        <w:t>En este blog, hemos utilizado T00:00:00 para indicar la medianoche al comienzo del día. La norma ISO 8601 también admite la sintaxis T24:00:00 para indicar la medianoche al final del día indicado. Ninguno de los formatos XBRL admite la sintaxis T24:00:00: debe utilizar T00:00:00 el día siguiente, que es completamente equivalente.</w:t>
      </w:r>
    </w:p>
    <w:p w14:paraId="0CDA7D38" w14:textId="77777777" w:rsidR="0011194C" w:rsidRPr="0011194C" w:rsidRDefault="0011194C" w:rsidP="0011194C">
      <w:pPr>
        <w:jc w:val="both"/>
      </w:pPr>
      <w:r w:rsidRPr="0011194C">
        <w:t>Cuando se finalizó la versión 2.1 de XBRL (xBRL-XML) en 2003, el estándar XML Schema no admitía T24:00:00. Las versiones posteriores de XML Schema sí admiten T24:00:00, pero para evitar problemas de interoperabilidad, este formato no está permitido en xBRL-XML.</w:t>
      </w:r>
    </w:p>
    <w:p w14:paraId="35028DB5" w14:textId="77777777" w:rsidR="0011194C" w:rsidRPr="0011194C" w:rsidRDefault="0011194C" w:rsidP="0011194C">
      <w:pPr>
        <w:jc w:val="both"/>
      </w:pPr>
      <w:r w:rsidRPr="0011194C">
        <w:t>xBRL-JSON y xBRL-CSV hacen referencia al nuevo estándar de esquema XML que admite T24:00:00, pero también requieren que los períodos se informen en su "representación canónica". La representación canónica de la fecha y hora T24:00:00 es T00:00:00 del día siguiente, lo que es completamente equivalente.</w:t>
      </w:r>
    </w:p>
    <w:p w14:paraId="3E0333B8" w14:textId="77777777" w:rsidR="0011194C" w:rsidRPr="0011194C" w:rsidRDefault="0011194C" w:rsidP="0011194C">
      <w:pPr>
        <w:jc w:val="both"/>
      </w:pPr>
      <w:r w:rsidRPr="0011194C">
        <w:t>También vale la pena señalar que el propio ISO8601 abandonó el soporte para T24:00:00 en 2019, ¡aunque se restableció en una actualización en 2022!</w:t>
      </w:r>
    </w:p>
    <w:p w14:paraId="1BE3E0F4" w14:textId="77777777" w:rsidR="0011194C" w:rsidRPr="0011194C" w:rsidRDefault="0011194C" w:rsidP="0011194C">
      <w:pPr>
        <w:jc w:val="both"/>
        <w:rPr>
          <w:b/>
          <w:bCs/>
        </w:rPr>
      </w:pPr>
      <w:r w:rsidRPr="0011194C">
        <w:rPr>
          <w:b/>
          <w:bCs/>
        </w:rPr>
        <w:t>Resumen</w:t>
      </w:r>
    </w:p>
    <w:p w14:paraId="1039B295" w14:textId="77777777" w:rsidR="0011194C" w:rsidRPr="0011194C" w:rsidRDefault="0011194C" w:rsidP="0011194C">
      <w:pPr>
        <w:jc w:val="both"/>
      </w:pPr>
      <w:r w:rsidRPr="0011194C">
        <w:t>Para crear datos inequívocos, los períodos asociados a los hechos XBRL siempre incluyen un componente de tiempo. Este suele ser la medianoche del inicio de la fecha indicada, o “T00:00:00”. Al trabajar con XBRL:</w:t>
      </w:r>
    </w:p>
    <w:p w14:paraId="1084AB9D" w14:textId="77777777" w:rsidR="0011194C" w:rsidRPr="0011194C" w:rsidRDefault="0011194C" w:rsidP="0011194C">
      <w:pPr>
        <w:numPr>
          <w:ilvl w:val="0"/>
          <w:numId w:val="11"/>
        </w:numPr>
        <w:jc w:val="both"/>
      </w:pPr>
      <w:r w:rsidRPr="0011194C">
        <w:lastRenderedPageBreak/>
        <w:t>Asegúrese de que los períodos reflejen con precisión el significado previsto de los datos.</w:t>
      </w:r>
    </w:p>
    <w:p w14:paraId="4CB86353" w14:textId="77777777" w:rsidR="0011194C" w:rsidRPr="0011194C" w:rsidRDefault="0011194C" w:rsidP="0011194C">
      <w:pPr>
        <w:numPr>
          <w:ilvl w:val="0"/>
          <w:numId w:val="11"/>
        </w:numPr>
        <w:jc w:val="both"/>
      </w:pPr>
      <w:r w:rsidRPr="0011194C">
        <w:t>Las fechas utilizadas en la sintaxis XBRL pueden no coincidir exactamente con las convenciones de fecha utilizadas en informes legibles por humanos.</w:t>
      </w:r>
    </w:p>
    <w:p w14:paraId="58C75752" w14:textId="77777777" w:rsidR="0011194C" w:rsidRPr="0011194C" w:rsidRDefault="0011194C" w:rsidP="0011194C">
      <w:pPr>
        <w:numPr>
          <w:ilvl w:val="0"/>
          <w:numId w:val="11"/>
        </w:numPr>
        <w:jc w:val="both"/>
      </w:pPr>
      <w:r w:rsidRPr="0011194C">
        <w:t>En el uso común, las fechas de finalización y los saldos de cierre suelen hacer referencia al final de la fecha indicada. En XBRL, esto se representa como la medianoche del comienzo del día siguiente.</w:t>
      </w:r>
    </w:p>
    <w:p w14:paraId="726DBB67" w14:textId="77777777" w:rsidR="0011194C" w:rsidRPr="0011194C" w:rsidRDefault="0011194C" w:rsidP="0011194C">
      <w:pPr>
        <w:numPr>
          <w:ilvl w:val="0"/>
          <w:numId w:val="11"/>
        </w:numPr>
        <w:jc w:val="both"/>
      </w:pPr>
      <w:r w:rsidRPr="0011194C">
        <w:t>xBRL-XML y xBRL-CSV permiten algunos formatos abreviados que no incluyen un componente de tiempo; asegúrese de comprender cómo se interpretarán.</w:t>
      </w:r>
    </w:p>
    <w:p w14:paraId="76BB5DB8" w14:textId="77777777" w:rsidR="0011194C" w:rsidRPr="0011194C" w:rsidRDefault="0011194C" w:rsidP="0011194C">
      <w:pPr>
        <w:numPr>
          <w:ilvl w:val="0"/>
          <w:numId w:val="11"/>
        </w:numPr>
        <w:jc w:val="both"/>
      </w:pPr>
      <w:r w:rsidRPr="0011194C">
        <w:t>Utilice software XBRL certificado para visualizar y crear informes XBRL. El software XBRL debe mostrar las fechas a los usuarios de forma intuitiva y guiarlos para etiquetarlas correctamente.</w:t>
      </w:r>
    </w:p>
    <w:p w14:paraId="6C2423F8" w14:textId="77777777" w:rsidR="0011194C" w:rsidRPr="0011194C" w:rsidRDefault="0011194C" w:rsidP="0011194C">
      <w:pPr>
        <w:jc w:val="both"/>
      </w:pPr>
      <w:r w:rsidRPr="0011194C">
        <w:t>Otras publicaciones</w:t>
      </w:r>
    </w:p>
    <w:p w14:paraId="0F89FA85" w14:textId="2A36AEFF" w:rsidR="0011194C" w:rsidRDefault="0011194C" w:rsidP="0011194C">
      <w:pPr>
        <w:jc w:val="both"/>
      </w:pPr>
      <w:r w:rsidRPr="0011194C">
        <w:rPr>
          <w:noProof/>
        </w:rPr>
        <w:drawing>
          <wp:inline distT="0" distB="0" distL="0" distR="0" wp14:anchorId="1BE0504D" wp14:editId="1ED9F272">
            <wp:extent cx="5612130" cy="121983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2130" cy="1219835"/>
                    </a:xfrm>
                    <a:prstGeom prst="rect">
                      <a:avLst/>
                    </a:prstGeom>
                  </pic:spPr>
                </pic:pic>
              </a:graphicData>
            </a:graphic>
          </wp:inline>
        </w:drawing>
      </w:r>
    </w:p>
    <w:p w14:paraId="0EE42D3A" w14:textId="77777777" w:rsidR="0011194C" w:rsidRDefault="0011194C" w:rsidP="0011194C">
      <w:pPr>
        <w:jc w:val="both"/>
      </w:pPr>
    </w:p>
    <w:sectPr w:rsidR="0011194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530F"/>
    <w:multiLevelType w:val="multilevel"/>
    <w:tmpl w:val="69E0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6026B"/>
    <w:multiLevelType w:val="multilevel"/>
    <w:tmpl w:val="ED50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D3A5B"/>
    <w:multiLevelType w:val="multilevel"/>
    <w:tmpl w:val="C448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330B2"/>
    <w:multiLevelType w:val="multilevel"/>
    <w:tmpl w:val="B566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730553"/>
    <w:multiLevelType w:val="multilevel"/>
    <w:tmpl w:val="E280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006C7B"/>
    <w:multiLevelType w:val="multilevel"/>
    <w:tmpl w:val="E1481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AC7FA2"/>
    <w:multiLevelType w:val="multilevel"/>
    <w:tmpl w:val="5F10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7206B2"/>
    <w:multiLevelType w:val="multilevel"/>
    <w:tmpl w:val="1152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F27CF9"/>
    <w:multiLevelType w:val="multilevel"/>
    <w:tmpl w:val="60C4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BF25BC"/>
    <w:multiLevelType w:val="multilevel"/>
    <w:tmpl w:val="C0B4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490935"/>
    <w:multiLevelType w:val="multilevel"/>
    <w:tmpl w:val="DD78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0"/>
  </w:num>
  <w:num w:numId="5">
    <w:abstractNumId w:val="2"/>
  </w:num>
  <w:num w:numId="6">
    <w:abstractNumId w:val="8"/>
  </w:num>
  <w:num w:numId="7">
    <w:abstractNumId w:val="1"/>
  </w:num>
  <w:num w:numId="8">
    <w:abstractNumId w:val="6"/>
  </w:num>
  <w:num w:numId="9">
    <w:abstractNumId w:val="9"/>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94C"/>
    <w:rsid w:val="0011194C"/>
    <w:rsid w:val="006E06E6"/>
    <w:rsid w:val="0087568C"/>
    <w:rsid w:val="00A938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0551"/>
  <w15:chartTrackingRefBased/>
  <w15:docId w15:val="{9B6909DD-9BC0-4BB2-A3C9-5A0FCDE5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1194C"/>
    <w:rPr>
      <w:color w:val="0563C1" w:themeColor="hyperlink"/>
      <w:u w:val="single"/>
    </w:rPr>
  </w:style>
  <w:style w:type="character" w:styleId="Mencinsinresolver">
    <w:name w:val="Unresolved Mention"/>
    <w:basedOn w:val="Fuentedeprrafopredeter"/>
    <w:uiPriority w:val="99"/>
    <w:semiHidden/>
    <w:unhideWhenUsed/>
    <w:rsid w:val="00111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3933">
      <w:bodyDiv w:val="1"/>
      <w:marLeft w:val="0"/>
      <w:marRight w:val="0"/>
      <w:marTop w:val="0"/>
      <w:marBottom w:val="0"/>
      <w:divBdr>
        <w:top w:val="none" w:sz="0" w:space="0" w:color="auto"/>
        <w:left w:val="none" w:sz="0" w:space="0" w:color="auto"/>
        <w:bottom w:val="none" w:sz="0" w:space="0" w:color="auto"/>
        <w:right w:val="none" w:sz="0" w:space="0" w:color="auto"/>
      </w:divBdr>
      <w:divsChild>
        <w:div w:id="299847543">
          <w:marLeft w:val="0"/>
          <w:marRight w:val="0"/>
          <w:marTop w:val="0"/>
          <w:marBottom w:val="0"/>
          <w:divBdr>
            <w:top w:val="none" w:sz="0" w:space="0" w:color="auto"/>
            <w:left w:val="none" w:sz="0" w:space="0" w:color="auto"/>
            <w:bottom w:val="none" w:sz="0" w:space="0" w:color="auto"/>
            <w:right w:val="none" w:sz="0" w:space="0" w:color="auto"/>
          </w:divBdr>
        </w:div>
        <w:div w:id="359356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73164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768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2845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186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5426660">
          <w:marLeft w:val="0"/>
          <w:marRight w:val="0"/>
          <w:marTop w:val="600"/>
          <w:marBottom w:val="0"/>
          <w:divBdr>
            <w:top w:val="none" w:sz="0" w:space="0" w:color="auto"/>
            <w:left w:val="none" w:sz="0" w:space="0" w:color="auto"/>
            <w:bottom w:val="none" w:sz="0" w:space="0" w:color="auto"/>
            <w:right w:val="none" w:sz="0" w:space="0" w:color="auto"/>
          </w:divBdr>
          <w:divsChild>
            <w:div w:id="524098251">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1205100765">
      <w:bodyDiv w:val="1"/>
      <w:marLeft w:val="0"/>
      <w:marRight w:val="0"/>
      <w:marTop w:val="0"/>
      <w:marBottom w:val="0"/>
      <w:divBdr>
        <w:top w:val="none" w:sz="0" w:space="0" w:color="auto"/>
        <w:left w:val="none" w:sz="0" w:space="0" w:color="auto"/>
        <w:bottom w:val="none" w:sz="0" w:space="0" w:color="auto"/>
        <w:right w:val="none" w:sz="0" w:space="0" w:color="auto"/>
      </w:divBdr>
      <w:divsChild>
        <w:div w:id="598953732">
          <w:marLeft w:val="0"/>
          <w:marRight w:val="0"/>
          <w:marTop w:val="0"/>
          <w:marBottom w:val="0"/>
          <w:divBdr>
            <w:top w:val="none" w:sz="0" w:space="0" w:color="auto"/>
            <w:left w:val="none" w:sz="0" w:space="0" w:color="auto"/>
            <w:bottom w:val="none" w:sz="0" w:space="0" w:color="auto"/>
            <w:right w:val="none" w:sz="0" w:space="0" w:color="auto"/>
          </w:divBdr>
        </w:div>
        <w:div w:id="1935017304">
          <w:marLeft w:val="0"/>
          <w:marRight w:val="0"/>
          <w:marTop w:val="300"/>
          <w:marBottom w:val="300"/>
          <w:divBdr>
            <w:top w:val="none" w:sz="0" w:space="0" w:color="auto"/>
            <w:left w:val="none" w:sz="0" w:space="0" w:color="auto"/>
            <w:bottom w:val="none" w:sz="0" w:space="0" w:color="auto"/>
            <w:right w:val="none" w:sz="0" w:space="0" w:color="auto"/>
          </w:divBdr>
        </w:div>
        <w:div w:id="532425613">
          <w:marLeft w:val="0"/>
          <w:marRight w:val="0"/>
          <w:marTop w:val="600"/>
          <w:marBottom w:val="0"/>
          <w:divBdr>
            <w:top w:val="none" w:sz="0" w:space="0" w:color="auto"/>
            <w:left w:val="none" w:sz="0" w:space="0" w:color="auto"/>
            <w:bottom w:val="none" w:sz="0" w:space="0" w:color="auto"/>
            <w:right w:val="none" w:sz="0" w:space="0" w:color="auto"/>
          </w:divBdr>
          <w:divsChild>
            <w:div w:id="271476677">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dates/" TargetMode="External"/><Relationship Id="rId13" Type="http://schemas.openxmlformats.org/officeDocument/2006/relationships/image" Target="media/image3.jpeg"/><Relationship Id="rId18"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www.xbrl.org/dates-in-xbrl/" TargetMode="External"/><Relationship Id="rId12" Type="http://schemas.openxmlformats.org/officeDocument/2006/relationships/hyperlink" Target="https://www.xbrl.org/dates-in-xbrl/"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www.xbrl.org/wp-content/uploads/2024/08/soce-1.p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xbrl.org/news/dates-in-xbrl-achieving-consistency-in-financial-reporting/" TargetMode="External"/><Relationship Id="rId11" Type="http://schemas.openxmlformats.org/officeDocument/2006/relationships/image" Target="media/image2.png"/><Relationship Id="rId5" Type="http://schemas.openxmlformats.org/officeDocument/2006/relationships/image" Target="media/image1.jpeg"/><Relationship Id="rId15" Type="http://schemas.openxmlformats.org/officeDocument/2006/relationships/image" Target="media/image4.png"/><Relationship Id="rId10" Type="http://schemas.openxmlformats.org/officeDocument/2006/relationships/hyperlink" Target="https://www.xbrl.org/tag/xi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xbrl.org/tag/digital-reporting/" TargetMode="External"/><Relationship Id="rId14" Type="http://schemas.openxmlformats.org/officeDocument/2006/relationships/hyperlink" Target="https://www.xbrl.org/wp-content/uploads/2024/08/cash-flow-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2346</Words>
  <Characters>12909</Characters>
  <Application>Microsoft Office Word</Application>
  <DocSecurity>0</DocSecurity>
  <Lines>107</Lines>
  <Paragraphs>30</Paragraphs>
  <ScaleCrop>false</ScaleCrop>
  <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4</cp:revision>
  <dcterms:created xsi:type="dcterms:W3CDTF">2024-09-21T04:08:00Z</dcterms:created>
  <dcterms:modified xsi:type="dcterms:W3CDTF">2024-11-05T03:06:00Z</dcterms:modified>
</cp:coreProperties>
</file>