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AD149" w14:textId="77777777" w:rsidR="00191EE7" w:rsidRPr="002A1D3F" w:rsidRDefault="00191EE7" w:rsidP="00191EE7">
      <w:pPr>
        <w:jc w:val="both"/>
        <w:rPr>
          <w:rFonts w:ascii="Abadi" w:hAnsi="Abadi"/>
          <w:sz w:val="26"/>
          <w:szCs w:val="26"/>
        </w:rPr>
      </w:pPr>
      <w:r w:rsidRPr="002A1D3F">
        <w:rPr>
          <w:rFonts w:ascii="Abadi" w:hAnsi="Abadi"/>
          <w:sz w:val="26"/>
          <w:szCs w:val="26"/>
        </w:rPr>
        <w:t>La EBA publica un borrador del nuevo marco de presentación de informes 4.0</w:t>
      </w:r>
    </w:p>
    <w:p w14:paraId="59A57375" w14:textId="317D8C3F" w:rsidR="00191EE7" w:rsidRPr="00191EE7" w:rsidRDefault="00191EE7" w:rsidP="00191EE7">
      <w:pPr>
        <w:jc w:val="both"/>
      </w:pPr>
      <w:r w:rsidRPr="00191EE7">
        <w:rPr>
          <w:noProof/>
        </w:rPr>
        <w:drawing>
          <wp:inline distT="0" distB="0" distL="0" distR="0" wp14:anchorId="519916C1" wp14:editId="65921D5E">
            <wp:extent cx="5612130" cy="3747770"/>
            <wp:effectExtent l="0" t="0" r="7620"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747770"/>
                    </a:xfrm>
                    <a:prstGeom prst="rect">
                      <a:avLst/>
                    </a:prstGeom>
                    <a:noFill/>
                    <a:ln>
                      <a:noFill/>
                    </a:ln>
                  </pic:spPr>
                </pic:pic>
              </a:graphicData>
            </a:graphic>
          </wp:inline>
        </w:drawing>
      </w:r>
    </w:p>
    <w:p w14:paraId="56968073" w14:textId="04C0C13D" w:rsidR="003E13BF" w:rsidRPr="00191EE7" w:rsidRDefault="003E13BF" w:rsidP="003E13BF">
      <w:pPr>
        <w:jc w:val="both"/>
      </w:pPr>
      <w:r w:rsidRPr="00191EE7">
        <w:t>Publicado el 3 de noviembre de 2024 por</w:t>
      </w:r>
      <w:r>
        <w:t xml:space="preserve"> </w:t>
      </w:r>
      <w:hyperlink r:id="rId6" w:history="1">
        <w:r w:rsidRPr="00191EE7">
          <w:rPr>
            <w:rStyle w:val="Hipervnculo"/>
            <w:b/>
            <w:bCs/>
          </w:rPr>
          <w:t>Editor</w:t>
        </w:r>
      </w:hyperlink>
    </w:p>
    <w:p w14:paraId="3B4B34BC" w14:textId="77777777" w:rsidR="00191EE7" w:rsidRPr="00191EE7" w:rsidRDefault="00191EE7" w:rsidP="00191EE7">
      <w:pPr>
        <w:jc w:val="both"/>
      </w:pPr>
      <w:r w:rsidRPr="00191EE7">
        <w:t>La Autoridad Bancaria Europea (ABE) ha presentado un borrador de paquete técnico para su próximo marco de informes 4.0, brindando a las instituciones una vista previa de los cambios que se aplicarán en 2025.</w:t>
      </w:r>
    </w:p>
    <w:p w14:paraId="4F32D2FC" w14:textId="77777777" w:rsidR="00191EE7" w:rsidRPr="00191EE7" w:rsidRDefault="00191EE7" w:rsidP="00191EE7">
      <w:pPr>
        <w:jc w:val="both"/>
      </w:pPr>
      <w:r w:rsidRPr="00191EE7">
        <w:t>Publicado la semana pasada, este borrador proporciona información sobre el cambio de la EBA hacia el Modelo de Puntos de Datos (DPM) 2.0 más avanzado, diseñado para incorporar nuevos estándares y mejoras para los informes regulatorios de la UE.</w:t>
      </w:r>
    </w:p>
    <w:p w14:paraId="6BD4DA59" w14:textId="77777777" w:rsidR="00191EE7" w:rsidRPr="00191EE7" w:rsidRDefault="00191EE7" w:rsidP="00191EE7">
      <w:pPr>
        <w:jc w:val="both"/>
      </w:pPr>
      <w:r w:rsidRPr="00191EE7">
        <w:t>Este proyecto de paquete sienta las bases para el DPM 2.0 al introducir reglas de validación mejoradas, elementos actualizados del DPM y taxonomías XBRL que respaldarán las obligaciones de presentación de informes nuevas y revisadas. Estas incluyen la presentación de datos por parte de los emisores de tokens referenciados a activos (ART) y tokens de dinero electrónico (EMT), actualizaciones de las plantillas COREP en consonancia con el Paquete Bancario de la UE (CRR3 y CRDVI) y modificaciones menores para las empresas de inversión de clase 2.</w:t>
      </w:r>
    </w:p>
    <w:p w14:paraId="5FC96923" w14:textId="77777777" w:rsidR="00191EE7" w:rsidRPr="00191EE7" w:rsidRDefault="00191EE7" w:rsidP="00191EE7">
      <w:pPr>
        <w:jc w:val="both"/>
      </w:pPr>
      <w:r w:rsidRPr="00191EE7">
        <w:t>Para ayudar a las instituciones a prepararse, el paquete incluye los últimos diccionarios de datos en formatos DPM 1.0 y DPM 2.0, y una herramienta de consulta DPM actualizada, que permite a los usuarios familiarizarse con la nueva estructura.</w:t>
      </w:r>
    </w:p>
    <w:p w14:paraId="4CD357A1" w14:textId="77777777" w:rsidR="00191EE7" w:rsidRPr="00191EE7" w:rsidRDefault="00191EE7" w:rsidP="00191EE7">
      <w:pPr>
        <w:jc w:val="both"/>
      </w:pPr>
      <w:r w:rsidRPr="00191EE7">
        <w:t xml:space="preserve">Esta transición a DPM 2.0 es un paso adelante en la integración de las taxonomías XBRL y el formato xBRL-CSV para lograr una generación de informes más robusta, automatizada y escalable. Al ofrecer </w:t>
      </w:r>
      <w:r w:rsidRPr="00191EE7">
        <w:lastRenderedPageBreak/>
        <w:t>un primer vistazo al borrador, la EBA pretende garantizar que las instituciones puedan adaptarse sin problemas a este marco más estructurado e impulsado por XBRL.</w:t>
      </w:r>
    </w:p>
    <w:p w14:paraId="62D59540" w14:textId="109705FE" w:rsidR="00191EE7" w:rsidRPr="00191EE7" w:rsidRDefault="00191EE7" w:rsidP="00191EE7">
      <w:pPr>
        <w:jc w:val="both"/>
      </w:pPr>
      <w:r w:rsidRPr="00191EE7">
        <w:t>El paquete técnico final se publicará en diciembre, pero ya se puede acceder al borrador y a los recursos de soporte en el</w:t>
      </w:r>
      <w:r w:rsidR="003E13BF">
        <w:t xml:space="preserve"> </w:t>
      </w:r>
      <w:hyperlink r:id="rId7" w:tgtFrame="_blank" w:history="1">
        <w:r w:rsidRPr="00191EE7">
          <w:rPr>
            <w:rStyle w:val="Hipervnculo"/>
          </w:rPr>
          <w:t>sitio web de la EBA</w:t>
        </w:r>
      </w:hyperlink>
      <w:r w:rsidRPr="00191EE7">
        <w:t>.</w:t>
      </w:r>
    </w:p>
    <w:p w14:paraId="36CBA951" w14:textId="3DA4DE54" w:rsidR="00191EE7" w:rsidRPr="00191EE7" w:rsidRDefault="002A1D3F" w:rsidP="00191EE7">
      <w:pPr>
        <w:jc w:val="both"/>
      </w:pPr>
      <w:hyperlink r:id="rId8" w:history="1">
        <w:r w:rsidR="00191EE7" w:rsidRPr="00191EE7">
          <w:rPr>
            <w:rStyle w:val="Hipervnculo"/>
          </w:rPr>
          <w:t>Informes</w:t>
        </w:r>
        <w:r w:rsidR="003E13BF">
          <w:rPr>
            <w:rStyle w:val="Hipervnculo"/>
          </w:rPr>
          <w:t xml:space="preserve"> </w:t>
        </w:r>
      </w:hyperlink>
      <w:hyperlink r:id="rId9" w:history="1">
        <w:r w:rsidR="00191EE7" w:rsidRPr="00191EE7">
          <w:rPr>
            <w:rStyle w:val="Hipervnculo"/>
          </w:rPr>
          <w:t>DMP 2.0</w:t>
        </w:r>
        <w:r w:rsidR="003E13BF">
          <w:rPr>
            <w:rStyle w:val="Hipervnculo"/>
          </w:rPr>
          <w:t xml:space="preserve"> </w:t>
        </w:r>
      </w:hyperlink>
      <w:hyperlink r:id="rId10" w:history="1">
        <w:r w:rsidR="00191EE7" w:rsidRPr="00191EE7">
          <w:rPr>
            <w:rStyle w:val="Hipervnculo"/>
          </w:rPr>
          <w:t>EBA</w:t>
        </w:r>
        <w:r w:rsidR="003E13BF">
          <w:rPr>
            <w:rStyle w:val="Hipervnculo"/>
          </w:rPr>
          <w:t xml:space="preserve"> </w:t>
        </w:r>
      </w:hyperlink>
      <w:hyperlink r:id="rId11" w:history="1">
        <w:r w:rsidR="00191EE7" w:rsidRPr="00191EE7">
          <w:rPr>
            <w:rStyle w:val="Hipervnculo"/>
          </w:rPr>
          <w:t>UE</w:t>
        </w:r>
      </w:hyperlink>
    </w:p>
    <w:p w14:paraId="3E2B65F0" w14:textId="6A989C7D" w:rsidR="00191EE7" w:rsidRPr="00191EE7" w:rsidRDefault="00191EE7" w:rsidP="00191EE7">
      <w:pPr>
        <w:jc w:val="both"/>
      </w:pPr>
    </w:p>
    <w:p w14:paraId="568209BF" w14:textId="4EAED93F" w:rsidR="00191EE7" w:rsidRDefault="00191EE7" w:rsidP="00191EE7">
      <w:pPr>
        <w:jc w:val="both"/>
      </w:pPr>
    </w:p>
    <w:p w14:paraId="24D12F3D" w14:textId="29EEB9B3" w:rsidR="00191EE7" w:rsidRDefault="00191EE7" w:rsidP="00191EE7">
      <w:pPr>
        <w:jc w:val="both"/>
      </w:pPr>
    </w:p>
    <w:p w14:paraId="1B286748" w14:textId="780F0434" w:rsidR="00191EE7" w:rsidRDefault="00191EE7" w:rsidP="00191EE7">
      <w:pPr>
        <w:jc w:val="both"/>
      </w:pPr>
    </w:p>
    <w:p w14:paraId="732130EE" w14:textId="5B5F05FB" w:rsidR="00191EE7" w:rsidRDefault="00191EE7" w:rsidP="00191EE7">
      <w:pPr>
        <w:jc w:val="both"/>
      </w:pPr>
    </w:p>
    <w:p w14:paraId="67756132" w14:textId="1D1EB467" w:rsidR="00191EE7" w:rsidRDefault="00191EE7" w:rsidP="00191EE7">
      <w:pPr>
        <w:jc w:val="both"/>
      </w:pPr>
    </w:p>
    <w:p w14:paraId="3DFB82D9" w14:textId="12E7E6BE" w:rsidR="00191EE7" w:rsidRDefault="00191EE7" w:rsidP="00191EE7">
      <w:pPr>
        <w:jc w:val="both"/>
      </w:pPr>
    </w:p>
    <w:p w14:paraId="658BB541" w14:textId="3BB55B3A" w:rsidR="00191EE7" w:rsidRDefault="00191EE7" w:rsidP="00191EE7">
      <w:pPr>
        <w:jc w:val="both"/>
      </w:pPr>
    </w:p>
    <w:p w14:paraId="37798707" w14:textId="0ECC2BD2" w:rsidR="00191EE7" w:rsidRDefault="00191EE7" w:rsidP="00191EE7">
      <w:pPr>
        <w:jc w:val="both"/>
      </w:pPr>
    </w:p>
    <w:p w14:paraId="49B9DDDF" w14:textId="7A8191E5" w:rsidR="003E13BF" w:rsidRDefault="003E13BF" w:rsidP="00191EE7">
      <w:pPr>
        <w:jc w:val="both"/>
      </w:pPr>
    </w:p>
    <w:p w14:paraId="57C6EEE2" w14:textId="05C73523" w:rsidR="003E13BF" w:rsidRDefault="003E13BF" w:rsidP="00191EE7">
      <w:pPr>
        <w:jc w:val="both"/>
      </w:pPr>
    </w:p>
    <w:p w14:paraId="464E3BCF" w14:textId="4259419A" w:rsidR="003E13BF" w:rsidRDefault="003E13BF" w:rsidP="00191EE7">
      <w:pPr>
        <w:jc w:val="both"/>
      </w:pPr>
    </w:p>
    <w:p w14:paraId="75367CC5" w14:textId="465D8AE0" w:rsidR="003E13BF" w:rsidRDefault="003E13BF" w:rsidP="00191EE7">
      <w:pPr>
        <w:jc w:val="both"/>
      </w:pPr>
    </w:p>
    <w:p w14:paraId="0DA59037" w14:textId="239A437B" w:rsidR="003E13BF" w:rsidRDefault="003E13BF" w:rsidP="00191EE7">
      <w:pPr>
        <w:jc w:val="both"/>
      </w:pPr>
    </w:p>
    <w:p w14:paraId="701B93AE" w14:textId="6CFD7DC8" w:rsidR="003E13BF" w:rsidRDefault="003E13BF" w:rsidP="00191EE7">
      <w:pPr>
        <w:jc w:val="both"/>
      </w:pPr>
    </w:p>
    <w:p w14:paraId="53CF605C" w14:textId="55B08941" w:rsidR="003E13BF" w:rsidRDefault="003E13BF" w:rsidP="00191EE7">
      <w:pPr>
        <w:jc w:val="both"/>
      </w:pPr>
    </w:p>
    <w:p w14:paraId="708E68AA" w14:textId="22522ABC" w:rsidR="003E13BF" w:rsidRDefault="003E13BF" w:rsidP="00191EE7">
      <w:pPr>
        <w:jc w:val="both"/>
      </w:pPr>
    </w:p>
    <w:p w14:paraId="453E3434" w14:textId="7E659AC9" w:rsidR="003E13BF" w:rsidRDefault="003E13BF" w:rsidP="00191EE7">
      <w:pPr>
        <w:jc w:val="both"/>
      </w:pPr>
    </w:p>
    <w:p w14:paraId="1AF00071" w14:textId="044DA66D" w:rsidR="003E13BF" w:rsidRDefault="003E13BF" w:rsidP="00191EE7">
      <w:pPr>
        <w:jc w:val="both"/>
      </w:pPr>
    </w:p>
    <w:p w14:paraId="31F65FFE" w14:textId="53CD562F" w:rsidR="003E13BF" w:rsidRDefault="003E13BF" w:rsidP="00191EE7">
      <w:pPr>
        <w:jc w:val="both"/>
      </w:pPr>
    </w:p>
    <w:p w14:paraId="07702AC9" w14:textId="75260F19" w:rsidR="003E13BF" w:rsidRDefault="003E13BF" w:rsidP="00191EE7">
      <w:pPr>
        <w:jc w:val="both"/>
      </w:pPr>
    </w:p>
    <w:p w14:paraId="501E271F" w14:textId="2FCF9F9D" w:rsidR="003E13BF" w:rsidRDefault="003E13BF" w:rsidP="00191EE7">
      <w:pPr>
        <w:jc w:val="both"/>
      </w:pPr>
    </w:p>
    <w:p w14:paraId="4B2B0B39" w14:textId="4D5A6498" w:rsidR="003E13BF" w:rsidRDefault="003E13BF" w:rsidP="00191EE7">
      <w:pPr>
        <w:jc w:val="both"/>
      </w:pPr>
    </w:p>
    <w:p w14:paraId="7F762D5D" w14:textId="73B7520D" w:rsidR="00191EE7" w:rsidRDefault="00191EE7" w:rsidP="00191EE7">
      <w:pPr>
        <w:jc w:val="both"/>
      </w:pPr>
      <w:r w:rsidRPr="00191EE7">
        <w:rPr>
          <w:noProof/>
        </w:rPr>
        <w:lastRenderedPageBreak/>
        <w:drawing>
          <wp:inline distT="0" distB="0" distL="0" distR="0" wp14:anchorId="5AD3B3EF" wp14:editId="2C3C431C">
            <wp:extent cx="5612130" cy="50355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503555"/>
                    </a:xfrm>
                    <a:prstGeom prst="rect">
                      <a:avLst/>
                    </a:prstGeom>
                  </pic:spPr>
                </pic:pic>
              </a:graphicData>
            </a:graphic>
          </wp:inline>
        </w:drawing>
      </w:r>
    </w:p>
    <w:p w14:paraId="16C42F41" w14:textId="77777777" w:rsidR="00191EE7" w:rsidRPr="003E13BF" w:rsidRDefault="00191EE7" w:rsidP="00191EE7">
      <w:pPr>
        <w:jc w:val="both"/>
        <w:rPr>
          <w:rFonts w:ascii="Abadi" w:hAnsi="Abadi"/>
        </w:rPr>
      </w:pPr>
      <w:r w:rsidRPr="003E13BF">
        <w:rPr>
          <w:rFonts w:ascii="Abadi" w:hAnsi="Abadi"/>
        </w:rPr>
        <w:t>La EBA publica un primer borrador del paquete técnico para su marco de informes 4.0</w:t>
      </w:r>
    </w:p>
    <w:p w14:paraId="7F5585CF" w14:textId="2F959946" w:rsidR="00191EE7" w:rsidRPr="003E13BF" w:rsidRDefault="003E13BF" w:rsidP="00191EE7">
      <w:pPr>
        <w:numPr>
          <w:ilvl w:val="0"/>
          <w:numId w:val="5"/>
        </w:numPr>
        <w:jc w:val="both"/>
        <w:rPr>
          <w:rFonts w:ascii="Abadi" w:hAnsi="Abadi"/>
        </w:rPr>
      </w:pPr>
      <w:r w:rsidRPr="003E13BF">
        <w:rPr>
          <w:rFonts w:ascii="Abadi" w:hAnsi="Abadi"/>
        </w:rPr>
        <w:t>Nota de prensa</w:t>
      </w:r>
    </w:p>
    <w:p w14:paraId="0EFB550E" w14:textId="77777777" w:rsidR="00191EE7" w:rsidRPr="003E13BF" w:rsidRDefault="00191EE7" w:rsidP="00191EE7">
      <w:pPr>
        <w:numPr>
          <w:ilvl w:val="0"/>
          <w:numId w:val="5"/>
        </w:numPr>
        <w:jc w:val="both"/>
        <w:rPr>
          <w:rFonts w:ascii="Abadi" w:hAnsi="Abadi"/>
        </w:rPr>
      </w:pPr>
      <w:r w:rsidRPr="003E13BF">
        <w:rPr>
          <w:rFonts w:ascii="Abadi" w:hAnsi="Abadi"/>
        </w:rPr>
        <w:t>23 de octubre de 2024</w:t>
      </w:r>
    </w:p>
    <w:p w14:paraId="5AFAC17E" w14:textId="77777777" w:rsidR="00191EE7" w:rsidRPr="003E13BF" w:rsidRDefault="00191EE7" w:rsidP="00191EE7">
      <w:pPr>
        <w:jc w:val="both"/>
        <w:rPr>
          <w:rFonts w:ascii="Abadi" w:hAnsi="Abadi"/>
        </w:rPr>
      </w:pPr>
      <w:r w:rsidRPr="003E13BF">
        <w:rPr>
          <w:rFonts w:ascii="Abadi" w:hAnsi="Abadi"/>
        </w:rPr>
        <w:t>La Autoridad Bancaria Europea (ABE) ha publicado hoy un borrador del paquete técnico para la versión 4.0 de su marco de presentación de informes. Esta publicación tiene como objetivo proporcionar una versión preliminar de la versión 4.0, dado que sus obligaciones de presentación de informes se aplicarán a partir del primer semestre de 2025. Este paquete, cuya versión final se publicará en diciembre de 2024, facilitará una transición más fluida al nuevo glosario semántico del modelo de puntos de datos (DPM) y a las capacidades del modelo DPM 2.0.</w:t>
      </w:r>
    </w:p>
    <w:p w14:paraId="60DDDC95" w14:textId="64717992" w:rsidR="00191EE7" w:rsidRPr="00191EE7" w:rsidRDefault="00191EE7" w:rsidP="00191EE7">
      <w:pPr>
        <w:jc w:val="both"/>
      </w:pPr>
      <w:r w:rsidRPr="00191EE7">
        <w:t>En junio de 2024, la EBA publicó su</w:t>
      </w:r>
      <w:r w:rsidR="003E13BF">
        <w:t xml:space="preserve"> </w:t>
      </w:r>
      <w:hyperlink r:id="rId13" w:history="1">
        <w:r w:rsidRPr="00191EE7">
          <w:rPr>
            <w:rStyle w:val="Hipervnculo"/>
          </w:rPr>
          <w:t>plan para la implementación del DPM 2.0</w:t>
        </w:r>
      </w:hyperlink>
      <w:r w:rsidRPr="00191EE7">
        <w:t>. El borrador del paquete técnico para la versión 4.0 publicado hoy marca la transición al DPM 2.0 y al nuevo glosario, como se anunció en junio.</w:t>
      </w:r>
    </w:p>
    <w:p w14:paraId="3A6429DA" w14:textId="77777777" w:rsidR="00191EE7" w:rsidRPr="00191EE7" w:rsidRDefault="00191EE7" w:rsidP="00191EE7">
      <w:pPr>
        <w:jc w:val="both"/>
      </w:pPr>
      <w:r w:rsidRPr="00191EE7">
        <w:t>El borrador del paquete técnico proporciona las especificaciones estándar que incluyen las reglas de validación, el DPM y las taxonomías XBRL para respaldar las siguientes obligaciones de informes:</w:t>
      </w:r>
    </w:p>
    <w:p w14:paraId="2FA6755A" w14:textId="77777777" w:rsidR="00191EE7" w:rsidRPr="00191EE7" w:rsidRDefault="00191EE7" w:rsidP="00191EE7">
      <w:pPr>
        <w:numPr>
          <w:ilvl w:val="0"/>
          <w:numId w:val="6"/>
        </w:numPr>
        <w:jc w:val="both"/>
      </w:pPr>
      <w:r w:rsidRPr="00191EE7">
        <w:t>Informe de información por parte de los emisores de tokens referenciados a activos (ART) y tokens de dinero electrónico (EMT).</w:t>
      </w:r>
    </w:p>
    <w:p w14:paraId="1FF0B96A" w14:textId="77777777" w:rsidR="00191EE7" w:rsidRPr="00191EE7" w:rsidRDefault="00191EE7" w:rsidP="00191EE7">
      <w:pPr>
        <w:numPr>
          <w:ilvl w:val="0"/>
          <w:numId w:val="6"/>
        </w:numPr>
        <w:jc w:val="both"/>
      </w:pPr>
      <w:r w:rsidRPr="00191EE7">
        <w:t>Nuevas ITS que modifican el marco de información supervisora ​​(plantillas COREP) para implementar los cambios más inmediatos impulsados ​​por el Paquete Bancario de la UE (Reglamento de Requisitos de Capital - CRR3 y Directiva de Requisitos de Capital - CRDVI) publicado el 19 de junio en el Diario Oficial.</w:t>
      </w:r>
    </w:p>
    <w:p w14:paraId="7105E86D" w14:textId="77777777" w:rsidR="00191EE7" w:rsidRPr="00191EE7" w:rsidRDefault="00191EE7" w:rsidP="00191EE7">
      <w:pPr>
        <w:numPr>
          <w:ilvl w:val="0"/>
          <w:numId w:val="6"/>
        </w:numPr>
        <w:jc w:val="both"/>
      </w:pPr>
      <w:bookmarkStart w:id="0" w:name="_Hlk180088506"/>
      <w:r w:rsidRPr="00191EE7">
        <w:t>Modificaciones menores a las obligaciones de información de las empresas de inversión de clase 2 (plantillas COREP), en consonancia con los cambios de CRR3/CRDVI.</w:t>
      </w:r>
      <w:bookmarkEnd w:id="0"/>
    </w:p>
    <w:p w14:paraId="0AB2A466" w14:textId="77777777" w:rsidR="00191EE7" w:rsidRPr="00191EE7" w:rsidRDefault="00191EE7" w:rsidP="00191EE7">
      <w:pPr>
        <w:jc w:val="both"/>
      </w:pPr>
      <w:r w:rsidRPr="00191EE7">
        <w:t>Este borrador de paquete técnico incluye una versión del contenido del diccionario de datos en ambos formatos, el DPM 1.0 y el nuevo formato DPM 2.0.</w:t>
      </w:r>
    </w:p>
    <w:p w14:paraId="025987D8" w14:textId="0954434D" w:rsidR="00191EE7" w:rsidRPr="00191EE7" w:rsidRDefault="00191EE7" w:rsidP="00191EE7">
      <w:pPr>
        <w:jc w:val="both"/>
      </w:pPr>
      <w:r w:rsidRPr="00191EE7">
        <w:t>La</w:t>
      </w:r>
      <w:r w:rsidR="003E13BF">
        <w:t xml:space="preserve"> </w:t>
      </w:r>
      <w:hyperlink r:id="rId14" w:tooltip="Diccionario de datos DPM" w:history="1">
        <w:r w:rsidRPr="00191EE7">
          <w:rPr>
            <w:rStyle w:val="Hipervnculo"/>
          </w:rPr>
          <w:t>herramienta de consulta DPM</w:t>
        </w:r>
      </w:hyperlink>
      <w:r w:rsidR="003E13BF">
        <w:t xml:space="preserve"> </w:t>
      </w:r>
      <w:r w:rsidRPr="00191EE7">
        <w:t>también se ha actualizado para reflejar esta versión preliminar.</w:t>
      </w:r>
    </w:p>
    <w:p w14:paraId="3FBD1215" w14:textId="77777777" w:rsidR="00191EE7" w:rsidRPr="00191EE7" w:rsidRDefault="00191EE7" w:rsidP="00191EE7">
      <w:pPr>
        <w:jc w:val="both"/>
        <w:rPr>
          <w:b/>
          <w:bCs/>
        </w:rPr>
      </w:pPr>
      <w:r w:rsidRPr="00191EE7">
        <w:rPr>
          <w:b/>
          <w:bCs/>
        </w:rPr>
        <w:t>Antecedentes y próximos pasos</w:t>
      </w:r>
    </w:p>
    <w:p w14:paraId="536B7457" w14:textId="77777777" w:rsidR="00191EE7" w:rsidRPr="00191EE7" w:rsidRDefault="00191EE7" w:rsidP="00191EE7">
      <w:pPr>
        <w:jc w:val="both"/>
      </w:pPr>
      <w:r w:rsidRPr="00191EE7">
        <w:t>El año pasado, la EBA anunció la migración a la metodología DPM 2.0 y publicó la documentación relacionada. En junio de este año, la EBA publicó los planes para la migración a DPM 2.0 y al nuevo glosario.</w:t>
      </w:r>
    </w:p>
    <w:p w14:paraId="5C5B0DBD" w14:textId="77777777" w:rsidR="00191EE7" w:rsidRPr="00191EE7" w:rsidRDefault="00191EE7" w:rsidP="00191EE7">
      <w:pPr>
        <w:jc w:val="both"/>
      </w:pPr>
      <w:r w:rsidRPr="00191EE7">
        <w:t>La versión final del paquete técnico para el marco de información 4.0 se publicará en diciembre e incluirá los cambios sugeridos por las tres ESA en el Dictamen, publicado el 15 de octubre, sobre el rechazo de la Comisión Europea (CE) al proyecto de ITS sobre los registros de información en el marco de la Ley de Resiliencia Operacional Digital (DORA).</w:t>
      </w:r>
    </w:p>
    <w:p w14:paraId="2C2AE739" w14:textId="77777777" w:rsidR="00191EE7" w:rsidRPr="00191EE7" w:rsidRDefault="00191EE7" w:rsidP="00191EE7">
      <w:pPr>
        <w:jc w:val="both"/>
      </w:pPr>
      <w:r w:rsidRPr="00191EE7">
        <w:lastRenderedPageBreak/>
        <w:t>Junto con este paquete técnico, la EBA está publicando un conjunto de preguntas y respuestas que ofrecen explicaciones adicionales, incluso sobre el paquete final que se publicará en diciembre.</w:t>
      </w:r>
    </w:p>
    <w:p w14:paraId="04F54E34" w14:textId="77777777" w:rsidR="00191EE7" w:rsidRPr="00191EE7" w:rsidRDefault="00191EE7" w:rsidP="00191EE7">
      <w:pPr>
        <w:jc w:val="both"/>
        <w:rPr>
          <w:b/>
          <w:bCs/>
        </w:rPr>
      </w:pPr>
      <w:r w:rsidRPr="00191EE7">
        <w:rPr>
          <w:b/>
          <w:bCs/>
        </w:rPr>
        <w:t>Documentos</w:t>
      </w:r>
    </w:p>
    <w:p w14:paraId="51C5C1DC" w14:textId="77777777" w:rsidR="00191EE7" w:rsidRPr="00191EE7" w:rsidRDefault="00191EE7" w:rsidP="00191EE7">
      <w:pPr>
        <w:jc w:val="both"/>
        <w:rPr>
          <w:b/>
          <w:bCs/>
        </w:rPr>
      </w:pPr>
      <w:r w:rsidRPr="00191EE7">
        <w:rPr>
          <w:b/>
          <w:bCs/>
        </w:rPr>
        <w:t>Preguntas frecuentes sobre informes de innovaciones y próximos lanzamientos</w:t>
      </w:r>
    </w:p>
    <w:p w14:paraId="2AAAEBC4" w14:textId="77777777" w:rsidR="00191EE7" w:rsidRPr="00191EE7" w:rsidRDefault="00191EE7" w:rsidP="00191EE7">
      <w:pPr>
        <w:jc w:val="both"/>
      </w:pPr>
      <w:r w:rsidRPr="00191EE7">
        <w:t>(202,07 KB - PDF)</w:t>
      </w:r>
    </w:p>
    <w:p w14:paraId="7A2385AE" w14:textId="77777777" w:rsidR="00191EE7" w:rsidRPr="00191EE7" w:rsidRDefault="002A1D3F" w:rsidP="00191EE7">
      <w:pPr>
        <w:jc w:val="both"/>
      </w:pPr>
      <w:hyperlink r:id="rId15" w:history="1">
        <w:r w:rsidR="00191EE7" w:rsidRPr="00191EE7">
          <w:rPr>
            <w:rStyle w:val="Hipervnculo"/>
          </w:rPr>
          <w:t>Descargar</w:t>
        </w:r>
      </w:hyperlink>
    </w:p>
    <w:p w14:paraId="3FCC6F5A" w14:textId="77777777" w:rsidR="00191EE7" w:rsidRPr="00191EE7" w:rsidRDefault="00191EE7" w:rsidP="00191EE7">
      <w:pPr>
        <w:jc w:val="both"/>
        <w:rPr>
          <w:b/>
          <w:bCs/>
        </w:rPr>
      </w:pPr>
      <w:r w:rsidRPr="00191EE7">
        <w:rPr>
          <w:b/>
          <w:bCs/>
        </w:rPr>
        <w:t>Nuevo glosario: archivo de conversión entre glosario DPM 1.0 y DPM 2.0</w:t>
      </w:r>
    </w:p>
    <w:p w14:paraId="20D8B560" w14:textId="77777777" w:rsidR="00191EE7" w:rsidRPr="00191EE7" w:rsidRDefault="00191EE7" w:rsidP="00191EE7">
      <w:pPr>
        <w:jc w:val="both"/>
      </w:pPr>
      <w:r w:rsidRPr="00191EE7">
        <w:t>(566,04 KB - Hoja de cálculo de Excel)</w:t>
      </w:r>
    </w:p>
    <w:p w14:paraId="34B2EA02" w14:textId="77777777" w:rsidR="00191EE7" w:rsidRPr="00191EE7" w:rsidRDefault="002A1D3F" w:rsidP="00191EE7">
      <w:pPr>
        <w:jc w:val="both"/>
      </w:pPr>
      <w:hyperlink r:id="rId16" w:history="1">
        <w:r w:rsidR="00191EE7" w:rsidRPr="00191EE7">
          <w:rPr>
            <w:rStyle w:val="Hipervnculo"/>
          </w:rPr>
          <w:t>Descargar</w:t>
        </w:r>
      </w:hyperlink>
    </w:p>
    <w:p w14:paraId="4EC8292A" w14:textId="77777777" w:rsidR="00191EE7" w:rsidRPr="00191EE7" w:rsidRDefault="00191EE7" w:rsidP="00191EE7">
      <w:pPr>
        <w:jc w:val="both"/>
        <w:rPr>
          <w:b/>
          <w:bCs/>
        </w:rPr>
      </w:pPr>
      <w:r w:rsidRPr="00191EE7">
        <w:rPr>
          <w:b/>
          <w:bCs/>
        </w:rPr>
        <w:t>Contenido relacionado</w:t>
      </w:r>
    </w:p>
    <w:p w14:paraId="0251C2DA" w14:textId="77777777" w:rsidR="00191EE7" w:rsidRPr="00191EE7" w:rsidRDefault="002A1D3F" w:rsidP="00191EE7">
      <w:pPr>
        <w:jc w:val="both"/>
        <w:rPr>
          <w:b/>
          <w:bCs/>
        </w:rPr>
      </w:pPr>
      <w:hyperlink r:id="rId17" w:history="1">
        <w:r w:rsidR="00191EE7" w:rsidRPr="00191EE7">
          <w:rPr>
            <w:rStyle w:val="Hipervnculo"/>
            <w:b/>
            <w:bCs/>
          </w:rPr>
          <w:t>Marco de informes 4.0</w:t>
        </w:r>
      </w:hyperlink>
    </w:p>
    <w:p w14:paraId="21B95EE7" w14:textId="77777777" w:rsidR="00191EE7" w:rsidRPr="00191EE7" w:rsidRDefault="002A1D3F" w:rsidP="00191EE7">
      <w:pPr>
        <w:jc w:val="both"/>
        <w:rPr>
          <w:b/>
          <w:bCs/>
        </w:rPr>
      </w:pPr>
      <w:hyperlink r:id="rId18" w:history="1">
        <w:r w:rsidR="00191EE7" w:rsidRPr="00191EE7">
          <w:rPr>
            <w:rStyle w:val="Hipervnculo"/>
            <w:b/>
            <w:bCs/>
          </w:rPr>
          <w:t>Diccionario de datos DPM</w:t>
        </w:r>
      </w:hyperlink>
    </w:p>
    <w:p w14:paraId="5F7A9763" w14:textId="67DCBEAD" w:rsidR="00191EE7" w:rsidRPr="00191EE7" w:rsidRDefault="00191EE7" w:rsidP="00191EE7">
      <w:pPr>
        <w:jc w:val="both"/>
      </w:pPr>
      <w:r w:rsidRPr="00191EE7">
        <w:t>Proyecto de normas técnicas de ejecución</w:t>
      </w:r>
      <w:r w:rsidR="003E13BF">
        <w:t xml:space="preserve">. </w:t>
      </w:r>
      <w:r w:rsidRPr="00191EE7">
        <w:t>ABE adopta el borrador final de RTS/ITS y lo presenta a la Comisión Europea</w:t>
      </w:r>
    </w:p>
    <w:p w14:paraId="7D0E9823" w14:textId="77777777" w:rsidR="00191EE7" w:rsidRPr="00191EE7" w:rsidRDefault="002A1D3F" w:rsidP="00191EE7">
      <w:pPr>
        <w:jc w:val="both"/>
        <w:rPr>
          <w:b/>
          <w:bCs/>
        </w:rPr>
      </w:pPr>
      <w:hyperlink r:id="rId19" w:history="1">
        <w:r w:rsidR="00191EE7" w:rsidRPr="00191EE7">
          <w:rPr>
            <w:rStyle w:val="Hipervnculo"/>
            <w:b/>
            <w:bCs/>
          </w:rPr>
          <w:t>Normas técnicas de aplicación sobre la presentación de informes sobre ART y EMT denominados en una moneda no perteneciente a la UE en el marco de MiCAR</w:t>
        </w:r>
      </w:hyperlink>
    </w:p>
    <w:p w14:paraId="33EF7B7D" w14:textId="63614A0F" w:rsidR="00191EE7" w:rsidRPr="00191EE7" w:rsidRDefault="00191EE7" w:rsidP="00191EE7">
      <w:pPr>
        <w:jc w:val="both"/>
      </w:pPr>
      <w:r w:rsidRPr="00191EE7">
        <w:t>Proyecto de normas técnicas de ejecución</w:t>
      </w:r>
      <w:r w:rsidR="003E13BF">
        <w:t xml:space="preserve">. </w:t>
      </w:r>
      <w:r w:rsidRPr="00191EE7">
        <w:t>La ABE adopta el borrador final de RTS/ITS y lo presenta a la Comisión Europea</w:t>
      </w:r>
    </w:p>
    <w:p w14:paraId="05613F28" w14:textId="77777777" w:rsidR="00191EE7" w:rsidRPr="00191EE7" w:rsidRDefault="002A1D3F" w:rsidP="00191EE7">
      <w:pPr>
        <w:jc w:val="both"/>
        <w:rPr>
          <w:b/>
          <w:bCs/>
        </w:rPr>
      </w:pPr>
      <w:hyperlink r:id="rId20" w:history="1">
        <w:r w:rsidR="00191EE7" w:rsidRPr="00191EE7">
          <w:rPr>
            <w:rStyle w:val="Hipervnculo"/>
            <w:b/>
            <w:bCs/>
          </w:rPr>
          <w:t>Normas técnicas de implementación sobre cambios en los informes de supervisión relacionados con CRR3/CRD6 en el paso 1</w:t>
        </w:r>
      </w:hyperlink>
    </w:p>
    <w:p w14:paraId="7EC0A5B6" w14:textId="6493621F" w:rsidR="00191EE7" w:rsidRPr="00191EE7" w:rsidRDefault="00191EE7" w:rsidP="00191EE7">
      <w:pPr>
        <w:jc w:val="both"/>
      </w:pPr>
      <w:r w:rsidRPr="00191EE7">
        <w:t>Proyecto de normas técnicas de ejecución</w:t>
      </w:r>
      <w:r w:rsidR="003E13BF">
        <w:t xml:space="preserve">. </w:t>
      </w:r>
      <w:r w:rsidRPr="00191EE7">
        <w:t>ABE adopta el borrador final de RTS/ITS y lo presenta a la Comisión Europea</w:t>
      </w:r>
    </w:p>
    <w:p w14:paraId="3FA2428F" w14:textId="77777777" w:rsidR="00191EE7" w:rsidRPr="00191EE7" w:rsidRDefault="002A1D3F" w:rsidP="00191EE7">
      <w:pPr>
        <w:jc w:val="both"/>
        <w:rPr>
          <w:b/>
          <w:bCs/>
        </w:rPr>
      </w:pPr>
      <w:hyperlink r:id="rId21" w:history="1">
        <w:r w:rsidR="00191EE7" w:rsidRPr="00191EE7">
          <w:rPr>
            <w:rStyle w:val="Hipervnculo"/>
            <w:b/>
            <w:bCs/>
          </w:rPr>
          <w:t>Normas Técnicas de Implementación para establecer los modelos para el registro de información</w:t>
        </w:r>
      </w:hyperlink>
    </w:p>
    <w:p w14:paraId="4EE04323" w14:textId="77777777" w:rsidR="00191EE7" w:rsidRPr="00191EE7" w:rsidRDefault="00191EE7" w:rsidP="00191EE7">
      <w:pPr>
        <w:jc w:val="both"/>
      </w:pPr>
      <w:r w:rsidRPr="00191EE7">
        <w:t>Presione soltar15 de octubre de 2024</w:t>
      </w:r>
    </w:p>
    <w:p w14:paraId="0C7C71BB" w14:textId="77777777" w:rsidR="00191EE7" w:rsidRPr="00191EE7" w:rsidRDefault="002A1D3F" w:rsidP="00191EE7">
      <w:pPr>
        <w:jc w:val="both"/>
        <w:rPr>
          <w:b/>
          <w:bCs/>
        </w:rPr>
      </w:pPr>
      <w:hyperlink r:id="rId22" w:history="1">
        <w:r w:rsidR="00191EE7" w:rsidRPr="00191EE7">
          <w:rPr>
            <w:rStyle w:val="Hipervnculo"/>
            <w:b/>
            <w:bCs/>
          </w:rPr>
          <w:t>Las ESA responden al rechazo de la Comisión Europea a las normas técnicas sobre registros de información en el marco de la Ley de Resiliencia Operativa Digital y piden su rápida adopción</w:t>
        </w:r>
      </w:hyperlink>
    </w:p>
    <w:p w14:paraId="1D23C883" w14:textId="77777777" w:rsidR="00191EE7" w:rsidRPr="00191EE7" w:rsidRDefault="00191EE7" w:rsidP="00191EE7">
      <w:pPr>
        <w:jc w:val="both"/>
        <w:rPr>
          <w:b/>
          <w:bCs/>
        </w:rPr>
      </w:pPr>
      <w:r w:rsidRPr="00191EE7">
        <w:rPr>
          <w:b/>
          <w:bCs/>
        </w:rPr>
        <w:t>Contactos de prensa</w:t>
      </w:r>
    </w:p>
    <w:p w14:paraId="00CFF833" w14:textId="77777777" w:rsidR="00191EE7" w:rsidRPr="00191EE7" w:rsidRDefault="00191EE7" w:rsidP="003E13BF">
      <w:pPr>
        <w:spacing w:after="0"/>
        <w:jc w:val="both"/>
      </w:pPr>
      <w:r w:rsidRPr="00191EE7">
        <w:t>Franca Rosa Congiu</w:t>
      </w:r>
    </w:p>
    <w:p w14:paraId="45716F41" w14:textId="77777777" w:rsidR="00191EE7" w:rsidRPr="00191EE7" w:rsidRDefault="002A1D3F" w:rsidP="003E13BF">
      <w:pPr>
        <w:numPr>
          <w:ilvl w:val="0"/>
          <w:numId w:val="7"/>
        </w:numPr>
        <w:spacing w:after="0"/>
        <w:jc w:val="both"/>
      </w:pPr>
      <w:hyperlink r:id="rId23" w:history="1">
        <w:r w:rsidR="00191EE7" w:rsidRPr="00191EE7">
          <w:rPr>
            <w:rStyle w:val="Hipervnculo"/>
          </w:rPr>
          <w:t>prensa@eba.europa.eu</w:t>
        </w:r>
      </w:hyperlink>
    </w:p>
    <w:p w14:paraId="2BC5E955" w14:textId="77777777" w:rsidR="00191EE7" w:rsidRPr="00191EE7" w:rsidRDefault="002A1D3F" w:rsidP="003E13BF">
      <w:pPr>
        <w:numPr>
          <w:ilvl w:val="0"/>
          <w:numId w:val="7"/>
        </w:numPr>
        <w:spacing w:after="0"/>
        <w:jc w:val="both"/>
      </w:pPr>
      <w:hyperlink r:id="rId24" w:history="1">
        <w:r w:rsidR="00191EE7" w:rsidRPr="00191EE7">
          <w:rPr>
            <w:rStyle w:val="Hipervnculo"/>
          </w:rPr>
          <w:t>+33 1 86 52 7052</w:t>
        </w:r>
      </w:hyperlink>
    </w:p>
    <w:p w14:paraId="62952337" w14:textId="77777777" w:rsidR="00191EE7" w:rsidRPr="00191EE7" w:rsidRDefault="002A1D3F" w:rsidP="00191EE7">
      <w:pPr>
        <w:numPr>
          <w:ilvl w:val="0"/>
          <w:numId w:val="7"/>
        </w:numPr>
        <w:jc w:val="both"/>
      </w:pPr>
      <w:hyperlink r:id="rId25" w:tgtFrame="_blank" w:history="1">
        <w:r w:rsidR="00191EE7" w:rsidRPr="00191EE7">
          <w:rPr>
            <w:rStyle w:val="Hipervnculo"/>
          </w:rPr>
          <w:t>Sigue a @EBA_News</w:t>
        </w:r>
      </w:hyperlink>
    </w:p>
    <w:p w14:paraId="39C7A0C3" w14:textId="0725F360" w:rsidR="00191EE7" w:rsidRDefault="00191EE7" w:rsidP="00191EE7">
      <w:pPr>
        <w:jc w:val="both"/>
      </w:pPr>
      <w:r w:rsidRPr="00191EE7">
        <w:rPr>
          <w:noProof/>
        </w:rPr>
        <w:lastRenderedPageBreak/>
        <w:drawing>
          <wp:inline distT="0" distB="0" distL="0" distR="0" wp14:anchorId="55F65FAC" wp14:editId="03BFCFB1">
            <wp:extent cx="5612130" cy="50355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503555"/>
                    </a:xfrm>
                    <a:prstGeom prst="rect">
                      <a:avLst/>
                    </a:prstGeom>
                  </pic:spPr>
                </pic:pic>
              </a:graphicData>
            </a:graphic>
          </wp:inline>
        </w:drawing>
      </w:r>
    </w:p>
    <w:p w14:paraId="0A79A031" w14:textId="77777777" w:rsidR="00191EE7" w:rsidRPr="00A17417" w:rsidRDefault="00191EE7" w:rsidP="00191EE7">
      <w:pPr>
        <w:jc w:val="both"/>
        <w:rPr>
          <w:rFonts w:ascii="Abadi" w:hAnsi="Abadi"/>
        </w:rPr>
      </w:pPr>
      <w:r w:rsidRPr="00A17417">
        <w:rPr>
          <w:rFonts w:ascii="Abadi" w:hAnsi="Abadi"/>
        </w:rPr>
        <w:t>Marco de informes 4.0</w:t>
      </w:r>
    </w:p>
    <w:p w14:paraId="770338B0" w14:textId="77777777" w:rsidR="00191EE7" w:rsidRPr="00A17417" w:rsidRDefault="00191EE7" w:rsidP="00191EE7">
      <w:pPr>
        <w:jc w:val="both"/>
        <w:rPr>
          <w:rFonts w:ascii="Abadi" w:hAnsi="Abadi"/>
        </w:rPr>
      </w:pPr>
      <w:r w:rsidRPr="00A17417">
        <w:rPr>
          <w:rFonts w:ascii="Abadi" w:hAnsi="Abadi"/>
        </w:rPr>
        <w:t>Se espera que el marco de presentación de informes 4.0 de la EBA se aplique a partir de marzo de 2025.</w:t>
      </w:r>
    </w:p>
    <w:p w14:paraId="51A29D51" w14:textId="77777777" w:rsidR="00191EE7" w:rsidRPr="00A17417" w:rsidRDefault="00191EE7" w:rsidP="00191EE7">
      <w:pPr>
        <w:jc w:val="both"/>
        <w:rPr>
          <w:rFonts w:ascii="Abadi" w:hAnsi="Abadi"/>
        </w:rPr>
      </w:pPr>
      <w:r w:rsidRPr="00A17417">
        <w:rPr>
          <w:rFonts w:ascii="Abadi" w:hAnsi="Abadi"/>
        </w:rPr>
        <w:t>Incluye los siguientes requisitos de información nuevos y modificados:</w:t>
      </w:r>
    </w:p>
    <w:p w14:paraId="720F6A6B" w14:textId="79762B62" w:rsidR="00191EE7" w:rsidRDefault="00191EE7" w:rsidP="00191EE7">
      <w:pPr>
        <w:jc w:val="both"/>
      </w:pPr>
      <w:r w:rsidRPr="00191EE7">
        <w:rPr>
          <w:noProof/>
        </w:rPr>
        <w:drawing>
          <wp:inline distT="0" distB="0" distL="0" distR="0" wp14:anchorId="46922E05" wp14:editId="036FF77D">
            <wp:extent cx="5612130" cy="228790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612130" cy="2287905"/>
                    </a:xfrm>
                    <a:prstGeom prst="rect">
                      <a:avLst/>
                    </a:prstGeom>
                  </pic:spPr>
                </pic:pic>
              </a:graphicData>
            </a:graphic>
          </wp:inline>
        </w:drawing>
      </w:r>
    </w:p>
    <w:p w14:paraId="2272D68F" w14:textId="77777777" w:rsidR="00191EE7" w:rsidRPr="00191EE7" w:rsidRDefault="00191EE7" w:rsidP="00191EE7">
      <w:pPr>
        <w:jc w:val="both"/>
      </w:pPr>
      <w:r w:rsidRPr="00191EE7">
        <w:rPr>
          <w:b/>
          <w:bCs/>
        </w:rPr>
        <w:t>Arquitectura de taxonomía EBA/EIOPA v2.0 (cargada el 26 de abril de 2023)</w:t>
      </w:r>
    </w:p>
    <w:p w14:paraId="2A9DF561" w14:textId="6870374B" w:rsidR="00191EE7" w:rsidRPr="00191EE7" w:rsidRDefault="00191EE7" w:rsidP="00191EE7">
      <w:pPr>
        <w:jc w:val="both"/>
      </w:pPr>
      <w:r w:rsidRPr="00191EE7">
        <w:t>La EBA y la EIOPA han estado trabajando junto con Eurofiling para producir una versión revisada de la</w:t>
      </w:r>
      <w:r w:rsidR="003E13BF">
        <w:t xml:space="preserve"> </w:t>
      </w:r>
      <w:hyperlink r:id="rId27" w:history="1">
        <w:r w:rsidRPr="00191EE7">
          <w:rPr>
            <w:rStyle w:val="Hipervnculo"/>
          </w:rPr>
          <w:t>Arquitectura de Taxonomía</w:t>
        </w:r>
      </w:hyperlink>
      <w:r w:rsidR="003E13BF">
        <w:t xml:space="preserve"> </w:t>
      </w:r>
      <w:r w:rsidRPr="00191EE7">
        <w:t>con el fin de implementar las mejoras introducidas por DPM Refit en el modelado de puntos de datos, como la historización de ciertos conceptos, y también para simplificar la estructura eliminando artefactos innecesarios, como códigos normativos para marcos de taxonomía.</w:t>
      </w:r>
    </w:p>
    <w:p w14:paraId="08DB6461" w14:textId="77777777" w:rsidR="00191EE7" w:rsidRPr="00191EE7" w:rsidRDefault="00191EE7" w:rsidP="00191EE7">
      <w:pPr>
        <w:jc w:val="both"/>
      </w:pPr>
      <w:r w:rsidRPr="00191EE7">
        <w:t>Es importante destacar que las taxonomías XBRL creadas bajo esta arquitectura actualizada siguen siendo totalmente compatibles con el estándar XBRL.</w:t>
      </w:r>
    </w:p>
    <w:p w14:paraId="63A6A46B" w14:textId="77777777" w:rsidR="00191EE7" w:rsidRPr="00191EE7" w:rsidRDefault="00191EE7" w:rsidP="00191EE7">
      <w:pPr>
        <w:jc w:val="both"/>
      </w:pPr>
      <w:r w:rsidRPr="00191EE7">
        <w:t>Los principales cambios respecto a la arquitectura de taxonomía anterior son:</w:t>
      </w:r>
    </w:p>
    <w:p w14:paraId="0AFE8C25" w14:textId="77777777" w:rsidR="00191EE7" w:rsidRPr="00191EE7" w:rsidRDefault="00191EE7" w:rsidP="00191EE7">
      <w:pPr>
        <w:numPr>
          <w:ilvl w:val="0"/>
          <w:numId w:val="1"/>
        </w:numPr>
        <w:jc w:val="both"/>
      </w:pPr>
      <w:r w:rsidRPr="00191EE7">
        <w:t>Aplicación de versiones en métricas de enumeración extensibles, jerarquías de miembros del dominio y dimensiones.</w:t>
      </w:r>
    </w:p>
    <w:p w14:paraId="625310CD" w14:textId="77777777" w:rsidR="00191EE7" w:rsidRPr="00191EE7" w:rsidRDefault="00191EE7" w:rsidP="00191EE7">
      <w:pPr>
        <w:numPr>
          <w:ilvl w:val="0"/>
          <w:numId w:val="1"/>
        </w:numPr>
        <w:jc w:val="both"/>
      </w:pPr>
      <w:r w:rsidRPr="00191EE7">
        <w:t>Uso de números de lanzamiento en lugar de fechas de publicación en las carpetas de lanzamiento.</w:t>
      </w:r>
    </w:p>
    <w:p w14:paraId="27B86C81" w14:textId="77777777" w:rsidR="00191EE7" w:rsidRPr="00191EE7" w:rsidRDefault="00191EE7" w:rsidP="00191EE7">
      <w:pPr>
        <w:numPr>
          <w:ilvl w:val="0"/>
          <w:numId w:val="1"/>
        </w:numPr>
        <w:jc w:val="both"/>
      </w:pPr>
      <w:r w:rsidRPr="00191EE7">
        <w:t>Eliminación de carpetas y archivos redundantes (por ejemplo: base de enlaces de presentación).</w:t>
      </w:r>
    </w:p>
    <w:p w14:paraId="69275725" w14:textId="77777777" w:rsidR="00191EE7" w:rsidRPr="00191EE7" w:rsidRDefault="00191EE7" w:rsidP="00191EE7">
      <w:pPr>
        <w:numPr>
          <w:ilvl w:val="0"/>
          <w:numId w:val="1"/>
        </w:numPr>
        <w:jc w:val="both"/>
      </w:pPr>
      <w:r w:rsidRPr="00191EE7">
        <w:t xml:space="preserve">Eliminación de carpetas y archivos no útiles (por ejemplo, carpeta normativa, </w:t>
      </w:r>
      <w:proofErr w:type="spellStart"/>
      <w:r w:rsidRPr="00191EE7">
        <w:t>dpm-ids</w:t>
      </w:r>
      <w:proofErr w:type="spellEnd"/>
      <w:r w:rsidRPr="00191EE7">
        <w:t>).</w:t>
      </w:r>
    </w:p>
    <w:p w14:paraId="25470ED2" w14:textId="77777777" w:rsidR="00191EE7" w:rsidRPr="00191EE7" w:rsidRDefault="00191EE7" w:rsidP="00191EE7">
      <w:pPr>
        <w:numPr>
          <w:ilvl w:val="0"/>
          <w:numId w:val="1"/>
        </w:numPr>
        <w:jc w:val="both"/>
      </w:pPr>
      <w:r w:rsidRPr="00191EE7">
        <w:t>Adición de {module}-ignore-val.xml para desactivar las afirmaciones en un módulo.</w:t>
      </w:r>
    </w:p>
    <w:p w14:paraId="321042BD" w14:textId="77777777" w:rsidR="00191EE7" w:rsidRPr="00191EE7" w:rsidRDefault="00191EE7" w:rsidP="00191EE7">
      <w:pPr>
        <w:numPr>
          <w:ilvl w:val="0"/>
          <w:numId w:val="1"/>
        </w:numPr>
        <w:jc w:val="both"/>
      </w:pPr>
      <w:r w:rsidRPr="00191EE7">
        <w:t>Cambio en la implementación de las reglas de validación:</w:t>
      </w:r>
    </w:p>
    <w:p w14:paraId="34DD2C32" w14:textId="77777777" w:rsidR="00191EE7" w:rsidRPr="00191EE7" w:rsidRDefault="00191EE7" w:rsidP="00191EE7">
      <w:pPr>
        <w:numPr>
          <w:ilvl w:val="1"/>
          <w:numId w:val="1"/>
        </w:numPr>
        <w:jc w:val="both"/>
      </w:pPr>
      <w:r w:rsidRPr="00191EE7">
        <w:lastRenderedPageBreak/>
        <w:t>Con la arquitectura de taxonomía anterior, una afirmación podía desencadenar múltiples evaluaciones. Con la nueva arquitectura, para cada evaluación de este tipo se puede crear una afirmación independiente y almacenarla en un solo archivo de afirmaciones. Por ejemplo: la regla de validación v2843_m se aplica a varias filas; por lo tanto, se implementa en afirmaciones como v2843_m_001, v2843_m_002, etc. y todas estas afirmaciones se almacenan en un solo archivo v2843_m.xml.</w:t>
      </w:r>
    </w:p>
    <w:p w14:paraId="23F54458" w14:textId="77777777" w:rsidR="00191EE7" w:rsidRPr="00191EE7" w:rsidRDefault="00191EE7" w:rsidP="00191EE7">
      <w:pPr>
        <w:numPr>
          <w:ilvl w:val="1"/>
          <w:numId w:val="1"/>
        </w:numPr>
        <w:jc w:val="both"/>
      </w:pPr>
      <w:r w:rsidRPr="00191EE7">
        <w:t>Los mensajes de error y las etiquetas de afirmación se incluyen en los archivos de afirmación (en lugar de archivos separados por afirmación: {vr}-lab.xml y {</w:t>
      </w:r>
      <w:proofErr w:type="spellStart"/>
      <w:r w:rsidRPr="00191EE7">
        <w:t>vr</w:t>
      </w:r>
      <w:proofErr w:type="spellEnd"/>
      <w:r w:rsidRPr="00191EE7">
        <w:t>}-err.xml).</w:t>
      </w:r>
    </w:p>
    <w:p w14:paraId="134BB711" w14:textId="77777777" w:rsidR="00191EE7" w:rsidRPr="00191EE7" w:rsidRDefault="00191EE7" w:rsidP="00191EE7">
      <w:pPr>
        <w:numPr>
          <w:ilvl w:val="1"/>
          <w:numId w:val="1"/>
        </w:numPr>
        <w:jc w:val="both"/>
      </w:pPr>
      <w:r w:rsidRPr="00191EE7">
        <w:t>En su lugar, se eliminaron los archivos aset-{prereq}.xml (para no depender de estos archivos para el procesamiento XBRL).</w:t>
      </w:r>
    </w:p>
    <w:p w14:paraId="5ABACB82" w14:textId="77777777" w:rsidR="00191EE7" w:rsidRPr="00191EE7" w:rsidRDefault="00191EE7" w:rsidP="00191EE7">
      <w:pPr>
        <w:numPr>
          <w:ilvl w:val="1"/>
          <w:numId w:val="1"/>
        </w:numPr>
        <w:jc w:val="both"/>
      </w:pPr>
      <w:r w:rsidRPr="00191EE7">
        <w:t xml:space="preserve">Se agregaron archivos {module}-val-tabs.xml por módulo para especificar explícitamente las tablas aplicadas para cada regla de validación (para sustituir la pérdida de información al eliminar los archivos </w:t>
      </w:r>
      <w:proofErr w:type="spellStart"/>
      <w:r w:rsidRPr="00191EE7">
        <w:t>aset</w:t>
      </w:r>
      <w:proofErr w:type="spellEnd"/>
      <w:r w:rsidRPr="00191EE7">
        <w:t>)</w:t>
      </w:r>
    </w:p>
    <w:p w14:paraId="4B1E2D3E" w14:textId="77777777" w:rsidR="00191EE7" w:rsidRPr="00191EE7" w:rsidRDefault="00191EE7" w:rsidP="00191EE7">
      <w:pPr>
        <w:numPr>
          <w:ilvl w:val="1"/>
          <w:numId w:val="1"/>
        </w:numPr>
        <w:jc w:val="both"/>
      </w:pPr>
      <w:r w:rsidRPr="00191EE7">
        <w:t>Se agregaron archivos {module}-ignore-val.xml en carpetas establecidas para aplicar la desactivación automática en la taxonomía.</w:t>
      </w:r>
    </w:p>
    <w:p w14:paraId="5FBA7664" w14:textId="1E99570D" w:rsidR="00191EE7" w:rsidRPr="00191EE7" w:rsidRDefault="00191EE7" w:rsidP="00191EE7">
      <w:pPr>
        <w:jc w:val="both"/>
      </w:pPr>
      <w:r w:rsidRPr="00191EE7">
        <w:t>Para facilitar la comprensión de estos cambios, también se proporciona una</w:t>
      </w:r>
      <w:r w:rsidR="00A17417">
        <w:t xml:space="preserve"> </w:t>
      </w:r>
      <w:hyperlink r:id="rId28" w:history="1">
        <w:r w:rsidRPr="00191EE7">
          <w:rPr>
            <w:rStyle w:val="Hipervnculo"/>
          </w:rPr>
          <w:t>taxonomía de muestra y</w:t>
        </w:r>
      </w:hyperlink>
      <w:r w:rsidR="00A17417">
        <w:t xml:space="preserve"> </w:t>
      </w:r>
      <w:r w:rsidRPr="00191EE7">
        <w:t>documentos de instancia de muestra.</w:t>
      </w:r>
    </w:p>
    <w:p w14:paraId="0F5CD67D" w14:textId="6CD0546A" w:rsidR="00191EE7" w:rsidRPr="00191EE7" w:rsidRDefault="00191EE7" w:rsidP="00191EE7">
      <w:pPr>
        <w:jc w:val="both"/>
      </w:pPr>
      <w:r w:rsidRPr="00191EE7">
        <w:t>La primera posibilidad de aplicar esta arquitectura revisada en las taxonomías EBA podría ser la versión 3.5 o la versión 4.0.</w:t>
      </w:r>
    </w:p>
    <w:p w14:paraId="779D2C0F" w14:textId="77777777" w:rsidR="00191EE7" w:rsidRPr="00191EE7" w:rsidRDefault="002A1D3F" w:rsidP="00191EE7">
      <w:pPr>
        <w:jc w:val="both"/>
      </w:pPr>
      <w:r>
        <w:pict w14:anchorId="49782D68">
          <v:rect id="_x0000_i1025" style="width:0;height:1.5pt" o:hralign="center" o:hrstd="t" o:hrnoshade="t" o:hr="t" fillcolor="#212529" stroked="f"/>
        </w:pict>
      </w:r>
    </w:p>
    <w:p w14:paraId="63B0338F" w14:textId="77777777" w:rsidR="00191EE7" w:rsidRPr="00191EE7" w:rsidRDefault="00191EE7" w:rsidP="00191EE7">
      <w:pPr>
        <w:numPr>
          <w:ilvl w:val="0"/>
          <w:numId w:val="2"/>
        </w:numPr>
        <w:jc w:val="both"/>
      </w:pPr>
      <w:r w:rsidRPr="00191EE7">
        <w:rPr>
          <w:b/>
          <w:bCs/>
        </w:rPr>
        <w:t>Versión consolidada de los requisitos de información</w:t>
      </w:r>
      <w:r w:rsidRPr="00191EE7">
        <w:t> (texto no oficial y concebido únicamente como herramienta de documentación; los actos jurídicos se publican en el Diario Oficial de la Unión Europea)</w:t>
      </w:r>
    </w:p>
    <w:p w14:paraId="79B6D561" w14:textId="5D0635A5" w:rsidR="00191EE7" w:rsidRPr="00191EE7" w:rsidRDefault="00191EE7" w:rsidP="003E13BF">
      <w:pPr>
        <w:numPr>
          <w:ilvl w:val="0"/>
          <w:numId w:val="2"/>
        </w:numPr>
        <w:spacing w:after="0"/>
        <w:jc w:val="both"/>
      </w:pPr>
      <w:r w:rsidRPr="00191EE7">
        <w:rPr>
          <w:b/>
          <w:bCs/>
        </w:rPr>
        <w:t>Normas de validación y alcance</w:t>
      </w:r>
      <w:r w:rsidR="003E13BF">
        <w:t xml:space="preserve"> </w:t>
      </w:r>
      <w:r w:rsidRPr="00191EE7">
        <w:t>(actualizado 23/10/2024)</w:t>
      </w:r>
    </w:p>
    <w:p w14:paraId="7624E1AC" w14:textId="4E5E5D88" w:rsidR="00191EE7" w:rsidRPr="00191EE7" w:rsidRDefault="00191EE7" w:rsidP="003E13BF">
      <w:pPr>
        <w:spacing w:after="0"/>
        <w:jc w:val="both"/>
      </w:pPr>
      <w:r w:rsidRPr="00191EE7">
        <w:t>a.</w:t>
      </w:r>
      <w:r w:rsidR="003E13BF">
        <w:t xml:space="preserve"> </w:t>
      </w:r>
      <w:hyperlink r:id="rId29" w:tooltip="reglas_de_validacion_eba_2024-10-23.xlsx" w:history="1">
        <w:r w:rsidRPr="00191EE7">
          <w:rPr>
            <w:rStyle w:val="Hipervnculo"/>
          </w:rPr>
          <w:t>Publicación de reglas de validación (nuevo formato)</w:t>
        </w:r>
      </w:hyperlink>
      <w:r w:rsidRPr="00191EE7">
        <w:t> (Subido el 23/10/2024)</w:t>
      </w:r>
    </w:p>
    <w:p w14:paraId="7FF27200" w14:textId="035C3396" w:rsidR="00191EE7" w:rsidRPr="00191EE7" w:rsidRDefault="00191EE7" w:rsidP="003E13BF">
      <w:pPr>
        <w:spacing w:after="0"/>
        <w:jc w:val="both"/>
      </w:pPr>
      <w:r w:rsidRPr="00191EE7">
        <w:t>b.</w:t>
      </w:r>
      <w:r w:rsidR="003E13BF">
        <w:t xml:space="preserve"> </w:t>
      </w:r>
      <w:hyperlink r:id="rId30" w:tooltip="eba_scopes_2024-10-23.xlsx" w:history="1">
        <w:r w:rsidRPr="00191EE7">
          <w:rPr>
            <w:rStyle w:val="Hipervnculo"/>
          </w:rPr>
          <w:t>Alcance</w:t>
        </w:r>
      </w:hyperlink>
      <w:r w:rsidRPr="00191EE7">
        <w:t xml:space="preserve"> (nuevo formato)</w:t>
      </w:r>
    </w:p>
    <w:p w14:paraId="130C6735" w14:textId="68D04C17" w:rsidR="00191EE7" w:rsidRPr="00191EE7" w:rsidRDefault="00191EE7" w:rsidP="00191EE7">
      <w:pPr>
        <w:jc w:val="both"/>
      </w:pPr>
      <w:r w:rsidRPr="00191EE7">
        <w:t>c.</w:t>
      </w:r>
      <w:r w:rsidR="003E13BF">
        <w:t xml:space="preserve"> </w:t>
      </w:r>
      <w:hyperlink r:id="rId31" w:tooltip="reglas_de_validacion_eba_2024-09-11.xlsx" w:history="1">
        <w:r w:rsidRPr="00191EE7">
          <w:rPr>
            <w:rStyle w:val="Hipervnculo"/>
          </w:rPr>
          <w:t>Reglas de validación de versiones anteriores (formato antiguo)</w:t>
        </w:r>
      </w:hyperlink>
      <w:r w:rsidRPr="00191EE7">
        <w:t> (cargado el 12 de septiembre de 2024)</w:t>
      </w:r>
    </w:p>
    <w:p w14:paraId="5DE023CF" w14:textId="34AD1F6E" w:rsidR="00191EE7" w:rsidRPr="00191EE7" w:rsidRDefault="00191EE7" w:rsidP="003E13BF">
      <w:pPr>
        <w:numPr>
          <w:ilvl w:val="0"/>
          <w:numId w:val="2"/>
        </w:numPr>
        <w:spacing w:after="0"/>
        <w:jc w:val="both"/>
      </w:pPr>
      <w:r w:rsidRPr="00191EE7">
        <w:rPr>
          <w:b/>
          <w:bCs/>
        </w:rPr>
        <w:t>DPM 4.0</w:t>
      </w:r>
      <w:r w:rsidR="003E13BF">
        <w:t xml:space="preserve"> </w:t>
      </w:r>
      <w:r w:rsidRPr="00191EE7">
        <w:t>(subido el 28/10/2024)</w:t>
      </w:r>
    </w:p>
    <w:p w14:paraId="7ACAA7F1" w14:textId="44835337" w:rsidR="00191EE7" w:rsidRPr="00191EE7" w:rsidRDefault="00191EE7" w:rsidP="003E13BF">
      <w:pPr>
        <w:spacing w:after="0"/>
        <w:jc w:val="both"/>
      </w:pPr>
      <w:r w:rsidRPr="00191EE7">
        <w:t>a.</w:t>
      </w:r>
      <w:r w:rsidR="003E13BF">
        <w:t xml:space="preserve"> </w:t>
      </w:r>
      <w:hyperlink r:id="rId32" w:history="1">
        <w:r w:rsidRPr="00191EE7">
          <w:rPr>
            <w:rStyle w:val="Hipervnculo"/>
          </w:rPr>
          <w:t>Base de datos DPM 1.0</w:t>
        </w:r>
      </w:hyperlink>
    </w:p>
    <w:p w14:paraId="4B99D065" w14:textId="40ED6117" w:rsidR="00191EE7" w:rsidRPr="00191EE7" w:rsidRDefault="00191EE7" w:rsidP="003E13BF">
      <w:pPr>
        <w:spacing w:after="0"/>
        <w:jc w:val="both"/>
      </w:pPr>
      <w:r w:rsidRPr="00191EE7">
        <w:t>b.</w:t>
      </w:r>
      <w:r w:rsidR="003E13BF">
        <w:t xml:space="preserve"> </w:t>
      </w:r>
      <w:hyperlink r:id="rId33" w:history="1">
        <w:r w:rsidRPr="00191EE7">
          <w:rPr>
            <w:rStyle w:val="Hipervnculo"/>
          </w:rPr>
          <w:t>Base de datos DPM 2.0</w:t>
        </w:r>
      </w:hyperlink>
    </w:p>
    <w:p w14:paraId="66DC98AB" w14:textId="732F6CE3" w:rsidR="00191EE7" w:rsidRPr="00191EE7" w:rsidRDefault="00191EE7" w:rsidP="003E13BF">
      <w:pPr>
        <w:spacing w:after="0"/>
        <w:jc w:val="both"/>
      </w:pPr>
      <w:r w:rsidRPr="00191EE7">
        <w:t>c.</w:t>
      </w:r>
      <w:r w:rsidR="003E13BF">
        <w:t xml:space="preserve"> </w:t>
      </w:r>
      <w:hyperlink r:id="rId34" w:tooltip="glosario_dpm2_4_0_20241022b.xlsx" w:history="1">
        <w:r w:rsidRPr="00191EE7">
          <w:rPr>
            <w:rStyle w:val="Hipervnculo"/>
          </w:rPr>
          <w:t>Diccionario DPM</w:t>
        </w:r>
      </w:hyperlink>
    </w:p>
    <w:p w14:paraId="37D9BA21" w14:textId="7C9CB3EF" w:rsidR="00191EE7" w:rsidRPr="00191EE7" w:rsidRDefault="00191EE7" w:rsidP="003E13BF">
      <w:pPr>
        <w:spacing w:after="0"/>
        <w:jc w:val="both"/>
      </w:pPr>
      <w:r w:rsidRPr="00191EE7">
        <w:t>d.</w:t>
      </w:r>
      <w:r w:rsidR="003E13BF">
        <w:t xml:space="preserve"> </w:t>
      </w:r>
      <w:hyperlink r:id="rId35" w:history="1">
        <w:r w:rsidRPr="00191EE7">
          <w:rPr>
            <w:rStyle w:val="Hipervnculo"/>
          </w:rPr>
          <w:t>Diseño de la tabla DPM y categorización de los puntos de datos</w:t>
        </w:r>
      </w:hyperlink>
    </w:p>
    <w:p w14:paraId="36C64DF2" w14:textId="699734A7" w:rsidR="00191EE7" w:rsidRPr="00191EE7" w:rsidRDefault="00191EE7" w:rsidP="003E13BF">
      <w:pPr>
        <w:spacing w:after="0"/>
        <w:jc w:val="both"/>
      </w:pPr>
      <w:r w:rsidRPr="00191EE7">
        <w:t>e.</w:t>
      </w:r>
      <w:r w:rsidR="003E13BF">
        <w:t xml:space="preserve"> </w:t>
      </w:r>
      <w:hyperlink r:id="rId36" w:tooltip="eba_células_identicas_4.0.csv" w:history="1">
        <w:r w:rsidRPr="00191EE7">
          <w:rPr>
            <w:rStyle w:val="Hipervnculo"/>
          </w:rPr>
          <w:t>Células idénticas</w:t>
        </w:r>
      </w:hyperlink>
    </w:p>
    <w:p w14:paraId="70A8FB1A" w14:textId="3997F9C3" w:rsidR="00191EE7" w:rsidRDefault="00191EE7" w:rsidP="00191EE7">
      <w:pPr>
        <w:jc w:val="both"/>
        <w:rPr>
          <w:rStyle w:val="Hipervnculo"/>
        </w:rPr>
      </w:pPr>
      <w:r w:rsidRPr="00191EE7">
        <w:t>f.</w:t>
      </w:r>
      <w:r w:rsidR="003E13BF">
        <w:t xml:space="preserve"> </w:t>
      </w:r>
      <w:hyperlink r:id="rId37" w:history="1">
        <w:r w:rsidRPr="00191EE7">
          <w:rPr>
            <w:rStyle w:val="Hipervnculo"/>
          </w:rPr>
          <w:t>Nuevo glosario: archivo de conversión entre el glosario DPM 1.0 y DPM 2.0</w:t>
        </w:r>
      </w:hyperlink>
    </w:p>
    <w:p w14:paraId="165589C8" w14:textId="39E7FED2" w:rsidR="003E13BF" w:rsidRDefault="003E13BF" w:rsidP="00191EE7">
      <w:pPr>
        <w:jc w:val="both"/>
      </w:pPr>
    </w:p>
    <w:p w14:paraId="14278819" w14:textId="77777777" w:rsidR="007266E6" w:rsidRPr="00191EE7" w:rsidRDefault="007266E6" w:rsidP="00191EE7">
      <w:pPr>
        <w:jc w:val="both"/>
      </w:pPr>
    </w:p>
    <w:p w14:paraId="1DB60B82" w14:textId="2F65D704" w:rsidR="00191EE7" w:rsidRPr="00191EE7" w:rsidRDefault="00191EE7" w:rsidP="003E13BF">
      <w:pPr>
        <w:numPr>
          <w:ilvl w:val="0"/>
          <w:numId w:val="2"/>
        </w:numPr>
        <w:spacing w:after="0"/>
        <w:jc w:val="both"/>
      </w:pPr>
      <w:r w:rsidRPr="00191EE7">
        <w:rPr>
          <w:b/>
          <w:bCs/>
        </w:rPr>
        <w:lastRenderedPageBreak/>
        <w:t>EBA XBRL v4.0</w:t>
      </w:r>
      <w:r w:rsidR="003E13BF">
        <w:t xml:space="preserve"> </w:t>
      </w:r>
      <w:r w:rsidRPr="00191EE7">
        <w:t>(cargado el 23/10/2024)</w:t>
      </w:r>
    </w:p>
    <w:p w14:paraId="6BE445D4" w14:textId="6FEF46C4" w:rsidR="00191EE7" w:rsidRPr="00191EE7" w:rsidRDefault="00191EE7" w:rsidP="003E13BF">
      <w:pPr>
        <w:spacing w:after="0"/>
        <w:jc w:val="both"/>
      </w:pPr>
      <w:r w:rsidRPr="00191EE7">
        <w:t>a.</w:t>
      </w:r>
      <w:r w:rsidR="003E13BF">
        <w:t xml:space="preserve"> </w:t>
      </w:r>
      <w:hyperlink r:id="rId38" w:history="1">
        <w:r w:rsidRPr="00191EE7">
          <w:rPr>
            <w:rStyle w:val="Hipervnculo"/>
          </w:rPr>
          <w:t>Taxonomía completa</w:t>
        </w:r>
      </w:hyperlink>
    </w:p>
    <w:p w14:paraId="2F57BA6C" w14:textId="059192D7" w:rsidR="00191EE7" w:rsidRPr="00191EE7" w:rsidRDefault="00191EE7" w:rsidP="003E13BF">
      <w:pPr>
        <w:spacing w:after="0"/>
        <w:jc w:val="both"/>
      </w:pPr>
      <w:r w:rsidRPr="00191EE7">
        <w:t>b.</w:t>
      </w:r>
      <w:r w:rsidR="003E13BF">
        <w:t xml:space="preserve"> </w:t>
      </w:r>
      <w:hyperlink r:id="rId39" w:history="1">
        <w:r w:rsidRPr="00191EE7">
          <w:rPr>
            <w:rStyle w:val="Hipervnculo"/>
          </w:rPr>
          <w:t>Paquete de taxonomía bajo la arquitectura de taxonomía v2.0</w:t>
        </w:r>
      </w:hyperlink>
    </w:p>
    <w:p w14:paraId="539783FF" w14:textId="41DDEA3A" w:rsidR="00191EE7" w:rsidRPr="00191EE7" w:rsidRDefault="00191EE7" w:rsidP="00191EE7">
      <w:pPr>
        <w:jc w:val="both"/>
      </w:pPr>
      <w:r w:rsidRPr="00191EE7">
        <w:t>c.</w:t>
      </w:r>
      <w:r w:rsidR="003E13BF">
        <w:t xml:space="preserve"> </w:t>
      </w:r>
      <w:hyperlink r:id="rId40" w:history="1">
        <w:r w:rsidRPr="00191EE7">
          <w:rPr>
            <w:rStyle w:val="Hipervnculo"/>
          </w:rPr>
          <w:t>Archivos de muestra para taxonomía según la arquitectura de taxonomía v2.0</w:t>
        </w:r>
      </w:hyperlink>
    </w:p>
    <w:p w14:paraId="76AFA167" w14:textId="77777777" w:rsidR="00191EE7" w:rsidRPr="00191EE7" w:rsidRDefault="002A1D3F" w:rsidP="00191EE7">
      <w:pPr>
        <w:numPr>
          <w:ilvl w:val="0"/>
          <w:numId w:val="2"/>
        </w:numPr>
        <w:jc w:val="both"/>
      </w:pPr>
      <w:hyperlink r:id="rId41" w:tooltip="Preguntas frecuentes sobre cómo informar sobre innovaciones y próximos lanzamientos.pdf" w:history="1">
        <w:r w:rsidR="00191EE7" w:rsidRPr="00191EE7">
          <w:rPr>
            <w:rStyle w:val="Hipervnculo"/>
            <w:b/>
            <w:bCs/>
          </w:rPr>
          <w:t>Preguntas y respuestas para informar sobre innovaciones y próximos lanzamientos</w:t>
        </w:r>
      </w:hyperlink>
    </w:p>
    <w:p w14:paraId="4ACFEF78" w14:textId="77777777" w:rsidR="00191EE7" w:rsidRPr="00191EE7" w:rsidRDefault="00191EE7" w:rsidP="003E13BF">
      <w:pPr>
        <w:spacing w:after="0"/>
        <w:jc w:val="both"/>
        <w:rPr>
          <w:b/>
          <w:bCs/>
        </w:rPr>
      </w:pPr>
      <w:r w:rsidRPr="00191EE7">
        <w:rPr>
          <w:b/>
          <w:bCs/>
        </w:rPr>
        <w:t>Documentos</w:t>
      </w:r>
    </w:p>
    <w:p w14:paraId="26229C99" w14:textId="77777777" w:rsidR="00191EE7" w:rsidRPr="00191EE7" w:rsidRDefault="002A1D3F" w:rsidP="00191EE7">
      <w:pPr>
        <w:numPr>
          <w:ilvl w:val="0"/>
          <w:numId w:val="3"/>
        </w:numPr>
        <w:jc w:val="both"/>
      </w:pPr>
      <w:hyperlink r:id="rId42" w:tooltip="Hoja de ruta de la ABE para reforzar el marco prudencial" w:history="1">
        <w:r w:rsidR="00191EE7" w:rsidRPr="00191EE7">
          <w:rPr>
            <w:rStyle w:val="Hipervnculo"/>
          </w:rPr>
          <w:t>Hoja de ruta de la ABE para fortalecer el marco prudencial</w:t>
        </w:r>
      </w:hyperlink>
    </w:p>
    <w:p w14:paraId="18DE506F" w14:textId="18CFF531" w:rsidR="00191EE7" w:rsidRPr="00191EE7" w:rsidRDefault="00191EE7" w:rsidP="003E13BF">
      <w:pPr>
        <w:spacing w:after="0"/>
        <w:jc w:val="both"/>
        <w:rPr>
          <w:b/>
          <w:bCs/>
        </w:rPr>
      </w:pPr>
      <w:r>
        <w:rPr>
          <w:b/>
          <w:bCs/>
        </w:rPr>
        <w:t>Links</w:t>
      </w:r>
    </w:p>
    <w:p w14:paraId="23C0644E" w14:textId="77777777" w:rsidR="00191EE7" w:rsidRPr="00191EE7" w:rsidRDefault="002A1D3F" w:rsidP="003E13BF">
      <w:pPr>
        <w:numPr>
          <w:ilvl w:val="0"/>
          <w:numId w:val="4"/>
        </w:numPr>
        <w:spacing w:after="0"/>
        <w:jc w:val="both"/>
      </w:pPr>
      <w:hyperlink r:id="rId43" w:tooltip="Normas técnicas de implementación sobre cambios en los informes de supervisión relacionados con CRR3/CRD6 en el paso 1" w:history="1">
        <w:r w:rsidR="00191EE7" w:rsidRPr="00191EE7">
          <w:rPr>
            <w:rStyle w:val="Hipervnculo"/>
          </w:rPr>
          <w:t>Modificación de las normas técnicas de ejecución sobre informes de supervisión con respecto a CRR3/CRD6 en el paso 1</w:t>
        </w:r>
      </w:hyperlink>
    </w:p>
    <w:p w14:paraId="26D4BDBC" w14:textId="56637DCC" w:rsidR="00191EE7" w:rsidRPr="00191EE7" w:rsidRDefault="002A1D3F" w:rsidP="00191EE7">
      <w:pPr>
        <w:numPr>
          <w:ilvl w:val="0"/>
          <w:numId w:val="4"/>
        </w:numPr>
        <w:jc w:val="both"/>
      </w:pPr>
      <w:hyperlink r:id="rId44" w:tooltip="Normas técnicas de aplicación sobre la presentación de informes sobre ART y EMT denominados en una moneda no perteneciente a la UE en el marco de MiCAR" w:history="1">
        <w:r w:rsidR="00191EE7" w:rsidRPr="00191EE7">
          <w:rPr>
            <w:rStyle w:val="Hipervnculo"/>
          </w:rPr>
          <w:t>Normas técnicas de aplicación sobre la presentación de informes sobre ART y EMT denominados en una moneda no perteneciente a la UE en el marco de MiCAR</w:t>
        </w:r>
      </w:hyperlink>
    </w:p>
    <w:p w14:paraId="456B388D" w14:textId="2DF1CA95" w:rsidR="00191EE7" w:rsidRDefault="00191EE7" w:rsidP="00191EE7">
      <w:pPr>
        <w:jc w:val="both"/>
      </w:pPr>
    </w:p>
    <w:p w14:paraId="2FF577D8" w14:textId="77777777" w:rsidR="003E13BF" w:rsidRDefault="003E13BF" w:rsidP="00191EE7">
      <w:pPr>
        <w:jc w:val="both"/>
      </w:pPr>
    </w:p>
    <w:sectPr w:rsidR="003E13B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2017A"/>
    <w:multiLevelType w:val="multilevel"/>
    <w:tmpl w:val="824C2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2A7E53"/>
    <w:multiLevelType w:val="multilevel"/>
    <w:tmpl w:val="369E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E76134"/>
    <w:multiLevelType w:val="multilevel"/>
    <w:tmpl w:val="9138B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E972E7"/>
    <w:multiLevelType w:val="multilevel"/>
    <w:tmpl w:val="D318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E54CC9"/>
    <w:multiLevelType w:val="multilevel"/>
    <w:tmpl w:val="02CCAA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3A77A1"/>
    <w:multiLevelType w:val="multilevel"/>
    <w:tmpl w:val="80AC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3C1817"/>
    <w:multiLevelType w:val="multilevel"/>
    <w:tmpl w:val="B01E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2"/>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EE7"/>
    <w:rsid w:val="00191EE7"/>
    <w:rsid w:val="002A1D3F"/>
    <w:rsid w:val="003E13BF"/>
    <w:rsid w:val="0057581D"/>
    <w:rsid w:val="007266E6"/>
    <w:rsid w:val="00A174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9A10AE"/>
  <w15:chartTrackingRefBased/>
  <w15:docId w15:val="{2496CA9B-28A5-48E6-85B4-5D539CDBE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91EE7"/>
    <w:rPr>
      <w:color w:val="0563C1" w:themeColor="hyperlink"/>
      <w:u w:val="single"/>
    </w:rPr>
  </w:style>
  <w:style w:type="character" w:styleId="Mencinsinresolver">
    <w:name w:val="Unresolved Mention"/>
    <w:basedOn w:val="Fuentedeprrafopredeter"/>
    <w:uiPriority w:val="99"/>
    <w:semiHidden/>
    <w:unhideWhenUsed/>
    <w:rsid w:val="00191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59100">
      <w:bodyDiv w:val="1"/>
      <w:marLeft w:val="0"/>
      <w:marRight w:val="0"/>
      <w:marTop w:val="0"/>
      <w:marBottom w:val="0"/>
      <w:divBdr>
        <w:top w:val="none" w:sz="0" w:space="0" w:color="auto"/>
        <w:left w:val="none" w:sz="0" w:space="0" w:color="auto"/>
        <w:bottom w:val="none" w:sz="0" w:space="0" w:color="auto"/>
        <w:right w:val="none" w:sz="0" w:space="0" w:color="auto"/>
      </w:divBdr>
      <w:divsChild>
        <w:div w:id="1637880063">
          <w:marLeft w:val="0"/>
          <w:marRight w:val="0"/>
          <w:marTop w:val="0"/>
          <w:marBottom w:val="0"/>
          <w:divBdr>
            <w:top w:val="none" w:sz="0" w:space="0" w:color="auto"/>
            <w:left w:val="none" w:sz="0" w:space="0" w:color="auto"/>
            <w:bottom w:val="none" w:sz="0" w:space="0" w:color="auto"/>
            <w:right w:val="none" w:sz="0" w:space="0" w:color="auto"/>
          </w:divBdr>
          <w:divsChild>
            <w:div w:id="16462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98372">
      <w:bodyDiv w:val="1"/>
      <w:marLeft w:val="0"/>
      <w:marRight w:val="0"/>
      <w:marTop w:val="0"/>
      <w:marBottom w:val="0"/>
      <w:divBdr>
        <w:top w:val="none" w:sz="0" w:space="0" w:color="auto"/>
        <w:left w:val="none" w:sz="0" w:space="0" w:color="auto"/>
        <w:bottom w:val="none" w:sz="0" w:space="0" w:color="auto"/>
        <w:right w:val="none" w:sz="0" w:space="0" w:color="auto"/>
      </w:divBdr>
      <w:divsChild>
        <w:div w:id="1834372569">
          <w:marLeft w:val="0"/>
          <w:marRight w:val="0"/>
          <w:marTop w:val="0"/>
          <w:marBottom w:val="0"/>
          <w:divBdr>
            <w:top w:val="none" w:sz="0" w:space="0" w:color="auto"/>
            <w:left w:val="none" w:sz="0" w:space="0" w:color="auto"/>
            <w:bottom w:val="none" w:sz="0" w:space="0" w:color="auto"/>
            <w:right w:val="none" w:sz="0" w:space="0" w:color="auto"/>
          </w:divBdr>
          <w:divsChild>
            <w:div w:id="706493373">
              <w:marLeft w:val="0"/>
              <w:marRight w:val="0"/>
              <w:marTop w:val="0"/>
              <w:marBottom w:val="0"/>
              <w:divBdr>
                <w:top w:val="none" w:sz="0" w:space="0" w:color="auto"/>
                <w:left w:val="none" w:sz="0" w:space="0" w:color="auto"/>
                <w:bottom w:val="none" w:sz="0" w:space="0" w:color="auto"/>
                <w:right w:val="none" w:sz="0" w:space="0" w:color="auto"/>
              </w:divBdr>
              <w:divsChild>
                <w:div w:id="13728407">
                  <w:marLeft w:val="0"/>
                  <w:marRight w:val="0"/>
                  <w:marTop w:val="0"/>
                  <w:marBottom w:val="0"/>
                  <w:divBdr>
                    <w:top w:val="none" w:sz="0" w:space="0" w:color="auto"/>
                    <w:left w:val="none" w:sz="0" w:space="0" w:color="auto"/>
                    <w:bottom w:val="none" w:sz="0" w:space="0" w:color="auto"/>
                    <w:right w:val="none" w:sz="0" w:space="0" w:color="auto"/>
                  </w:divBdr>
                </w:div>
                <w:div w:id="287248809">
                  <w:marLeft w:val="0"/>
                  <w:marRight w:val="0"/>
                  <w:marTop w:val="0"/>
                  <w:marBottom w:val="0"/>
                  <w:divBdr>
                    <w:top w:val="none" w:sz="0" w:space="0" w:color="auto"/>
                    <w:left w:val="none" w:sz="0" w:space="0" w:color="auto"/>
                    <w:bottom w:val="none" w:sz="0" w:space="0" w:color="auto"/>
                    <w:right w:val="none" w:sz="0" w:space="0" w:color="auto"/>
                  </w:divBdr>
                  <w:divsChild>
                    <w:div w:id="1370296131">
                      <w:marLeft w:val="0"/>
                      <w:marRight w:val="0"/>
                      <w:marTop w:val="0"/>
                      <w:marBottom w:val="0"/>
                      <w:divBdr>
                        <w:top w:val="none" w:sz="0" w:space="0" w:color="auto"/>
                        <w:left w:val="none" w:sz="0" w:space="0" w:color="auto"/>
                        <w:bottom w:val="none" w:sz="0" w:space="0" w:color="auto"/>
                        <w:right w:val="none" w:sz="0" w:space="0" w:color="auto"/>
                      </w:divBdr>
                      <w:divsChild>
                        <w:div w:id="236592049">
                          <w:marLeft w:val="0"/>
                          <w:marRight w:val="0"/>
                          <w:marTop w:val="0"/>
                          <w:marBottom w:val="0"/>
                          <w:divBdr>
                            <w:top w:val="none" w:sz="0" w:space="0" w:color="auto"/>
                            <w:left w:val="none" w:sz="0" w:space="0" w:color="auto"/>
                            <w:bottom w:val="none" w:sz="0" w:space="0" w:color="auto"/>
                            <w:right w:val="none" w:sz="0" w:space="0" w:color="auto"/>
                          </w:divBdr>
                        </w:div>
                        <w:div w:id="180430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05686">
                  <w:marLeft w:val="0"/>
                  <w:marRight w:val="0"/>
                  <w:marTop w:val="0"/>
                  <w:marBottom w:val="0"/>
                  <w:divBdr>
                    <w:top w:val="none" w:sz="0" w:space="0" w:color="auto"/>
                    <w:left w:val="none" w:sz="0" w:space="0" w:color="auto"/>
                    <w:bottom w:val="none" w:sz="0" w:space="0" w:color="auto"/>
                    <w:right w:val="none" w:sz="0" w:space="0" w:color="auto"/>
                  </w:divBdr>
                  <w:divsChild>
                    <w:div w:id="1702323206">
                      <w:marLeft w:val="0"/>
                      <w:marRight w:val="0"/>
                      <w:marTop w:val="0"/>
                      <w:marBottom w:val="0"/>
                      <w:divBdr>
                        <w:top w:val="none" w:sz="0" w:space="0" w:color="auto"/>
                        <w:left w:val="none" w:sz="0" w:space="0" w:color="auto"/>
                        <w:bottom w:val="none" w:sz="0" w:space="0" w:color="auto"/>
                        <w:right w:val="none" w:sz="0" w:space="0" w:color="auto"/>
                      </w:divBdr>
                      <w:divsChild>
                        <w:div w:id="93523637">
                          <w:marLeft w:val="0"/>
                          <w:marRight w:val="0"/>
                          <w:marTop w:val="0"/>
                          <w:marBottom w:val="0"/>
                          <w:divBdr>
                            <w:top w:val="none" w:sz="0" w:space="0" w:color="auto"/>
                            <w:left w:val="none" w:sz="0" w:space="0" w:color="auto"/>
                            <w:bottom w:val="none" w:sz="0" w:space="0" w:color="auto"/>
                            <w:right w:val="none" w:sz="0" w:space="0" w:color="auto"/>
                          </w:divBdr>
                        </w:div>
                        <w:div w:id="9434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10067">
                  <w:marLeft w:val="0"/>
                  <w:marRight w:val="0"/>
                  <w:marTop w:val="0"/>
                  <w:marBottom w:val="0"/>
                  <w:divBdr>
                    <w:top w:val="none" w:sz="0" w:space="0" w:color="auto"/>
                    <w:left w:val="none" w:sz="0" w:space="0" w:color="auto"/>
                    <w:bottom w:val="none" w:sz="0" w:space="0" w:color="auto"/>
                    <w:right w:val="none" w:sz="0" w:space="0" w:color="auto"/>
                  </w:divBdr>
                </w:div>
                <w:div w:id="508520683">
                  <w:marLeft w:val="0"/>
                  <w:marRight w:val="0"/>
                  <w:marTop w:val="0"/>
                  <w:marBottom w:val="0"/>
                  <w:divBdr>
                    <w:top w:val="none" w:sz="0" w:space="0" w:color="auto"/>
                    <w:left w:val="none" w:sz="0" w:space="0" w:color="auto"/>
                    <w:bottom w:val="none" w:sz="0" w:space="0" w:color="auto"/>
                    <w:right w:val="none" w:sz="0" w:space="0" w:color="auto"/>
                  </w:divBdr>
                </w:div>
                <w:div w:id="833255318">
                  <w:marLeft w:val="0"/>
                  <w:marRight w:val="0"/>
                  <w:marTop w:val="0"/>
                  <w:marBottom w:val="0"/>
                  <w:divBdr>
                    <w:top w:val="none" w:sz="0" w:space="0" w:color="auto"/>
                    <w:left w:val="none" w:sz="0" w:space="0" w:color="auto"/>
                    <w:bottom w:val="none" w:sz="0" w:space="0" w:color="auto"/>
                    <w:right w:val="none" w:sz="0" w:space="0" w:color="auto"/>
                  </w:divBdr>
                </w:div>
                <w:div w:id="1567450163">
                  <w:marLeft w:val="0"/>
                  <w:marRight w:val="0"/>
                  <w:marTop w:val="0"/>
                  <w:marBottom w:val="0"/>
                  <w:divBdr>
                    <w:top w:val="none" w:sz="0" w:space="0" w:color="auto"/>
                    <w:left w:val="none" w:sz="0" w:space="0" w:color="auto"/>
                    <w:bottom w:val="none" w:sz="0" w:space="0" w:color="auto"/>
                    <w:right w:val="none" w:sz="0" w:space="0" w:color="auto"/>
                  </w:divBdr>
                </w:div>
                <w:div w:id="644773914">
                  <w:marLeft w:val="0"/>
                  <w:marRight w:val="0"/>
                  <w:marTop w:val="0"/>
                  <w:marBottom w:val="0"/>
                  <w:divBdr>
                    <w:top w:val="none" w:sz="0" w:space="0" w:color="auto"/>
                    <w:left w:val="none" w:sz="0" w:space="0" w:color="auto"/>
                    <w:bottom w:val="none" w:sz="0" w:space="0" w:color="auto"/>
                    <w:right w:val="none" w:sz="0" w:space="0" w:color="auto"/>
                  </w:divBdr>
                </w:div>
                <w:div w:id="8778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127867">
      <w:bodyDiv w:val="1"/>
      <w:marLeft w:val="0"/>
      <w:marRight w:val="0"/>
      <w:marTop w:val="0"/>
      <w:marBottom w:val="0"/>
      <w:divBdr>
        <w:top w:val="none" w:sz="0" w:space="0" w:color="auto"/>
        <w:left w:val="none" w:sz="0" w:space="0" w:color="auto"/>
        <w:bottom w:val="none" w:sz="0" w:space="0" w:color="auto"/>
        <w:right w:val="none" w:sz="0" w:space="0" w:color="auto"/>
      </w:divBdr>
      <w:divsChild>
        <w:div w:id="1653439085">
          <w:marLeft w:val="0"/>
          <w:marRight w:val="0"/>
          <w:marTop w:val="0"/>
          <w:marBottom w:val="0"/>
          <w:divBdr>
            <w:top w:val="none" w:sz="0" w:space="0" w:color="auto"/>
            <w:left w:val="none" w:sz="0" w:space="0" w:color="auto"/>
            <w:bottom w:val="none" w:sz="0" w:space="0" w:color="auto"/>
            <w:right w:val="none" w:sz="0" w:space="0" w:color="auto"/>
          </w:divBdr>
          <w:divsChild>
            <w:div w:id="1369179342">
              <w:marLeft w:val="0"/>
              <w:marRight w:val="0"/>
              <w:marTop w:val="0"/>
              <w:marBottom w:val="0"/>
              <w:divBdr>
                <w:top w:val="none" w:sz="0" w:space="0" w:color="auto"/>
                <w:left w:val="none" w:sz="0" w:space="0" w:color="auto"/>
                <w:bottom w:val="none" w:sz="0" w:space="0" w:color="auto"/>
                <w:right w:val="none" w:sz="0" w:space="0" w:color="auto"/>
              </w:divBdr>
              <w:divsChild>
                <w:div w:id="188497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23648">
          <w:marLeft w:val="0"/>
          <w:marRight w:val="0"/>
          <w:marTop w:val="0"/>
          <w:marBottom w:val="0"/>
          <w:divBdr>
            <w:top w:val="none" w:sz="0" w:space="0" w:color="auto"/>
            <w:left w:val="none" w:sz="0" w:space="0" w:color="auto"/>
            <w:bottom w:val="none" w:sz="0" w:space="0" w:color="auto"/>
            <w:right w:val="none" w:sz="0" w:space="0" w:color="auto"/>
          </w:divBdr>
        </w:div>
        <w:div w:id="1575436059">
          <w:marLeft w:val="0"/>
          <w:marRight w:val="0"/>
          <w:marTop w:val="0"/>
          <w:marBottom w:val="0"/>
          <w:divBdr>
            <w:top w:val="none" w:sz="0" w:space="0" w:color="auto"/>
            <w:left w:val="none" w:sz="0" w:space="0" w:color="auto"/>
            <w:bottom w:val="none" w:sz="0" w:space="0" w:color="auto"/>
            <w:right w:val="none" w:sz="0" w:space="0" w:color="auto"/>
          </w:divBdr>
        </w:div>
      </w:divsChild>
    </w:div>
    <w:div w:id="1065445911">
      <w:bodyDiv w:val="1"/>
      <w:marLeft w:val="0"/>
      <w:marRight w:val="0"/>
      <w:marTop w:val="0"/>
      <w:marBottom w:val="0"/>
      <w:divBdr>
        <w:top w:val="none" w:sz="0" w:space="0" w:color="auto"/>
        <w:left w:val="none" w:sz="0" w:space="0" w:color="auto"/>
        <w:bottom w:val="none" w:sz="0" w:space="0" w:color="auto"/>
        <w:right w:val="none" w:sz="0" w:space="0" w:color="auto"/>
      </w:divBdr>
      <w:divsChild>
        <w:div w:id="1971592691">
          <w:marLeft w:val="0"/>
          <w:marRight w:val="0"/>
          <w:marTop w:val="0"/>
          <w:marBottom w:val="0"/>
          <w:divBdr>
            <w:top w:val="none" w:sz="0" w:space="0" w:color="auto"/>
            <w:left w:val="none" w:sz="0" w:space="0" w:color="auto"/>
            <w:bottom w:val="none" w:sz="0" w:space="0" w:color="auto"/>
            <w:right w:val="none" w:sz="0" w:space="0" w:color="auto"/>
          </w:divBdr>
        </w:div>
        <w:div w:id="1968244080">
          <w:marLeft w:val="0"/>
          <w:marRight w:val="0"/>
          <w:marTop w:val="300"/>
          <w:marBottom w:val="300"/>
          <w:divBdr>
            <w:top w:val="none" w:sz="0" w:space="0" w:color="auto"/>
            <w:left w:val="none" w:sz="0" w:space="0" w:color="auto"/>
            <w:bottom w:val="none" w:sz="0" w:space="0" w:color="auto"/>
            <w:right w:val="none" w:sz="0" w:space="0" w:color="auto"/>
          </w:divBdr>
        </w:div>
        <w:div w:id="963734093">
          <w:marLeft w:val="0"/>
          <w:marRight w:val="0"/>
          <w:marTop w:val="600"/>
          <w:marBottom w:val="0"/>
          <w:divBdr>
            <w:top w:val="none" w:sz="0" w:space="0" w:color="auto"/>
            <w:left w:val="none" w:sz="0" w:space="0" w:color="auto"/>
            <w:bottom w:val="none" w:sz="0" w:space="0" w:color="auto"/>
            <w:right w:val="none" w:sz="0" w:space="0" w:color="auto"/>
          </w:divBdr>
          <w:divsChild>
            <w:div w:id="893347191">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 w:id="1360356972">
      <w:bodyDiv w:val="1"/>
      <w:marLeft w:val="0"/>
      <w:marRight w:val="0"/>
      <w:marTop w:val="0"/>
      <w:marBottom w:val="0"/>
      <w:divBdr>
        <w:top w:val="none" w:sz="0" w:space="0" w:color="auto"/>
        <w:left w:val="none" w:sz="0" w:space="0" w:color="auto"/>
        <w:bottom w:val="none" w:sz="0" w:space="0" w:color="auto"/>
        <w:right w:val="none" w:sz="0" w:space="0" w:color="auto"/>
      </w:divBdr>
      <w:divsChild>
        <w:div w:id="23677479">
          <w:marLeft w:val="0"/>
          <w:marRight w:val="0"/>
          <w:marTop w:val="0"/>
          <w:marBottom w:val="0"/>
          <w:divBdr>
            <w:top w:val="none" w:sz="0" w:space="0" w:color="auto"/>
            <w:left w:val="none" w:sz="0" w:space="0" w:color="auto"/>
            <w:bottom w:val="none" w:sz="0" w:space="0" w:color="auto"/>
            <w:right w:val="none" w:sz="0" w:space="0" w:color="auto"/>
          </w:divBdr>
          <w:divsChild>
            <w:div w:id="1401829870">
              <w:marLeft w:val="0"/>
              <w:marRight w:val="0"/>
              <w:marTop w:val="0"/>
              <w:marBottom w:val="0"/>
              <w:divBdr>
                <w:top w:val="none" w:sz="0" w:space="0" w:color="auto"/>
                <w:left w:val="none" w:sz="0" w:space="0" w:color="auto"/>
                <w:bottom w:val="none" w:sz="0" w:space="0" w:color="auto"/>
                <w:right w:val="none" w:sz="0" w:space="0" w:color="auto"/>
              </w:divBdr>
              <w:divsChild>
                <w:div w:id="265699089">
                  <w:marLeft w:val="0"/>
                  <w:marRight w:val="0"/>
                  <w:marTop w:val="0"/>
                  <w:marBottom w:val="0"/>
                  <w:divBdr>
                    <w:top w:val="none" w:sz="0" w:space="0" w:color="auto"/>
                    <w:left w:val="none" w:sz="0" w:space="0" w:color="auto"/>
                    <w:bottom w:val="none" w:sz="0" w:space="0" w:color="auto"/>
                    <w:right w:val="none" w:sz="0" w:space="0" w:color="auto"/>
                  </w:divBdr>
                </w:div>
                <w:div w:id="2037654620">
                  <w:marLeft w:val="0"/>
                  <w:marRight w:val="0"/>
                  <w:marTop w:val="0"/>
                  <w:marBottom w:val="0"/>
                  <w:divBdr>
                    <w:top w:val="none" w:sz="0" w:space="0" w:color="auto"/>
                    <w:left w:val="none" w:sz="0" w:space="0" w:color="auto"/>
                    <w:bottom w:val="none" w:sz="0" w:space="0" w:color="auto"/>
                    <w:right w:val="none" w:sz="0" w:space="0" w:color="auto"/>
                  </w:divBdr>
                  <w:divsChild>
                    <w:div w:id="1703627861">
                      <w:marLeft w:val="0"/>
                      <w:marRight w:val="0"/>
                      <w:marTop w:val="0"/>
                      <w:marBottom w:val="0"/>
                      <w:divBdr>
                        <w:top w:val="none" w:sz="0" w:space="0" w:color="auto"/>
                        <w:left w:val="none" w:sz="0" w:space="0" w:color="auto"/>
                        <w:bottom w:val="none" w:sz="0" w:space="0" w:color="auto"/>
                        <w:right w:val="none" w:sz="0" w:space="0" w:color="auto"/>
                      </w:divBdr>
                      <w:divsChild>
                        <w:div w:id="1997295309">
                          <w:marLeft w:val="0"/>
                          <w:marRight w:val="0"/>
                          <w:marTop w:val="0"/>
                          <w:marBottom w:val="0"/>
                          <w:divBdr>
                            <w:top w:val="none" w:sz="0" w:space="0" w:color="auto"/>
                            <w:left w:val="none" w:sz="0" w:space="0" w:color="auto"/>
                            <w:bottom w:val="none" w:sz="0" w:space="0" w:color="auto"/>
                            <w:right w:val="none" w:sz="0" w:space="0" w:color="auto"/>
                          </w:divBdr>
                        </w:div>
                        <w:div w:id="61794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862833">
                  <w:marLeft w:val="0"/>
                  <w:marRight w:val="0"/>
                  <w:marTop w:val="0"/>
                  <w:marBottom w:val="0"/>
                  <w:divBdr>
                    <w:top w:val="none" w:sz="0" w:space="0" w:color="auto"/>
                    <w:left w:val="none" w:sz="0" w:space="0" w:color="auto"/>
                    <w:bottom w:val="none" w:sz="0" w:space="0" w:color="auto"/>
                    <w:right w:val="none" w:sz="0" w:space="0" w:color="auto"/>
                  </w:divBdr>
                  <w:divsChild>
                    <w:div w:id="1638489565">
                      <w:marLeft w:val="0"/>
                      <w:marRight w:val="0"/>
                      <w:marTop w:val="0"/>
                      <w:marBottom w:val="0"/>
                      <w:divBdr>
                        <w:top w:val="none" w:sz="0" w:space="0" w:color="auto"/>
                        <w:left w:val="none" w:sz="0" w:space="0" w:color="auto"/>
                        <w:bottom w:val="none" w:sz="0" w:space="0" w:color="auto"/>
                        <w:right w:val="none" w:sz="0" w:space="0" w:color="auto"/>
                      </w:divBdr>
                      <w:divsChild>
                        <w:div w:id="1730565863">
                          <w:marLeft w:val="0"/>
                          <w:marRight w:val="0"/>
                          <w:marTop w:val="0"/>
                          <w:marBottom w:val="0"/>
                          <w:divBdr>
                            <w:top w:val="none" w:sz="0" w:space="0" w:color="auto"/>
                            <w:left w:val="none" w:sz="0" w:space="0" w:color="auto"/>
                            <w:bottom w:val="none" w:sz="0" w:space="0" w:color="auto"/>
                            <w:right w:val="none" w:sz="0" w:space="0" w:color="auto"/>
                          </w:divBdr>
                        </w:div>
                        <w:div w:id="17361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79131">
                  <w:marLeft w:val="0"/>
                  <w:marRight w:val="0"/>
                  <w:marTop w:val="0"/>
                  <w:marBottom w:val="0"/>
                  <w:divBdr>
                    <w:top w:val="none" w:sz="0" w:space="0" w:color="auto"/>
                    <w:left w:val="none" w:sz="0" w:space="0" w:color="auto"/>
                    <w:bottom w:val="none" w:sz="0" w:space="0" w:color="auto"/>
                    <w:right w:val="none" w:sz="0" w:space="0" w:color="auto"/>
                  </w:divBdr>
                </w:div>
                <w:div w:id="2025670981">
                  <w:marLeft w:val="0"/>
                  <w:marRight w:val="0"/>
                  <w:marTop w:val="0"/>
                  <w:marBottom w:val="0"/>
                  <w:divBdr>
                    <w:top w:val="none" w:sz="0" w:space="0" w:color="auto"/>
                    <w:left w:val="none" w:sz="0" w:space="0" w:color="auto"/>
                    <w:bottom w:val="none" w:sz="0" w:space="0" w:color="auto"/>
                    <w:right w:val="none" w:sz="0" w:space="0" w:color="auto"/>
                  </w:divBdr>
                </w:div>
                <w:div w:id="111022428">
                  <w:marLeft w:val="0"/>
                  <w:marRight w:val="0"/>
                  <w:marTop w:val="0"/>
                  <w:marBottom w:val="0"/>
                  <w:divBdr>
                    <w:top w:val="none" w:sz="0" w:space="0" w:color="auto"/>
                    <w:left w:val="none" w:sz="0" w:space="0" w:color="auto"/>
                    <w:bottom w:val="none" w:sz="0" w:space="0" w:color="auto"/>
                    <w:right w:val="none" w:sz="0" w:space="0" w:color="auto"/>
                  </w:divBdr>
                </w:div>
                <w:div w:id="69695664">
                  <w:marLeft w:val="0"/>
                  <w:marRight w:val="0"/>
                  <w:marTop w:val="0"/>
                  <w:marBottom w:val="0"/>
                  <w:divBdr>
                    <w:top w:val="none" w:sz="0" w:space="0" w:color="auto"/>
                    <w:left w:val="none" w:sz="0" w:space="0" w:color="auto"/>
                    <w:bottom w:val="none" w:sz="0" w:space="0" w:color="auto"/>
                    <w:right w:val="none" w:sz="0" w:space="0" w:color="auto"/>
                  </w:divBdr>
                </w:div>
                <w:div w:id="460733843">
                  <w:marLeft w:val="0"/>
                  <w:marRight w:val="0"/>
                  <w:marTop w:val="0"/>
                  <w:marBottom w:val="0"/>
                  <w:divBdr>
                    <w:top w:val="none" w:sz="0" w:space="0" w:color="auto"/>
                    <w:left w:val="none" w:sz="0" w:space="0" w:color="auto"/>
                    <w:bottom w:val="none" w:sz="0" w:space="0" w:color="auto"/>
                    <w:right w:val="none" w:sz="0" w:space="0" w:color="auto"/>
                  </w:divBdr>
                </w:div>
                <w:div w:id="11243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aonline-my.sharepoint.com/personal/pilar_gutierrez_eba_europa_eu/Documents/Microsoft%20Teams%20Chat%20Files/The%20EBA%20publishes%20its%20plan%20for%20the%20implementation%20of%20the%20data%20point%20model%202.0%20%7C%20European%20Banking%20Authority" TargetMode="External"/><Relationship Id="rId18" Type="http://schemas.openxmlformats.org/officeDocument/2006/relationships/hyperlink" Target="https://www.eba.europa.eu/risk-and-data-analysis/reporting-frameworks/dpm-data-dictionary" TargetMode="External"/><Relationship Id="rId26" Type="http://schemas.openxmlformats.org/officeDocument/2006/relationships/image" Target="media/image3.png"/><Relationship Id="rId39" Type="http://schemas.openxmlformats.org/officeDocument/2006/relationships/hyperlink" Target="https://www.eba.europa.eu/sites/default/files/2024-10/3775a9d7-42d6-4d74-9004-12fe64498c4a/taxo_package.zip" TargetMode="External"/><Relationship Id="rId21" Type="http://schemas.openxmlformats.org/officeDocument/2006/relationships/hyperlink" Target="https://www.eba.europa.eu/activities/single-rulebook/regulatory-activities/operational-resilience/implementing-technical-standards-establish-templates-register-information" TargetMode="External"/><Relationship Id="rId34" Type="http://schemas.openxmlformats.org/officeDocument/2006/relationships/hyperlink" Target="https://www.eba.europa.eu/sites/default/files/2024-10/086690ed-aaab-4fb1-9440-3043595227b5/dpm2_4_0_glossary_20241022b.xlsx" TargetMode="External"/><Relationship Id="rId42" Type="http://schemas.openxmlformats.org/officeDocument/2006/relationships/hyperlink" Target="https://www.eba.europa.eu/sites/default/files/2023-12/9dc534e8-8a3d-438f-88e3-bc86e623d99e/EBA%20Roadmap%20on%20strengthening%20the%20prudential%20framework_1.pdf" TargetMode="External"/><Relationship Id="rId7" Type="http://schemas.openxmlformats.org/officeDocument/2006/relationships/hyperlink" Target="https://www.eba.europa.eu/publications-and-media/press-releases/eba-releases-first-draft-technical-package-its-40-reporting-framework" TargetMode="External"/><Relationship Id="rId2" Type="http://schemas.openxmlformats.org/officeDocument/2006/relationships/styles" Target="styles.xml"/><Relationship Id="rId16" Type="http://schemas.openxmlformats.org/officeDocument/2006/relationships/hyperlink" Target="https://www.eba.europa.eu/sites/default/files/2024-10/ec27b785-e965-4983-b8b1-a5cc3c03d573/eba_conversion_file_between_dpm_1.0_and_dpm_2.0_glossary.xlsx" TargetMode="External"/><Relationship Id="rId29" Type="http://schemas.openxmlformats.org/officeDocument/2006/relationships/hyperlink" Target="https://www.eba.europa.eu/sites/default/files/2024-10/359f69eb-9441-4e3a-baaf-ef213ab2ca8b/eba_validation_rules_2024-10-23.xlsx" TargetMode="External"/><Relationship Id="rId1" Type="http://schemas.openxmlformats.org/officeDocument/2006/relationships/numbering" Target="numbering.xml"/><Relationship Id="rId6" Type="http://schemas.openxmlformats.org/officeDocument/2006/relationships/hyperlink" Target="https://www.xbrl.org/news/eba-publishes-draft-package-for-the-new-4-0-reporting-framework/" TargetMode="External"/><Relationship Id="rId11" Type="http://schemas.openxmlformats.org/officeDocument/2006/relationships/hyperlink" Target="https://www.xbrl.org/tag/eu/" TargetMode="External"/><Relationship Id="rId24" Type="http://schemas.openxmlformats.org/officeDocument/2006/relationships/hyperlink" Target="tel:+33186527052" TargetMode="External"/><Relationship Id="rId32" Type="http://schemas.openxmlformats.org/officeDocument/2006/relationships/hyperlink" Target="https://ebprstaewspublic01.blob.core.windows.net/public/tools-prod/assets/Reporting%20Framework/4.0/DPM%20Database%201.0%20(for%20release%204.0).accdb.zip" TargetMode="External"/><Relationship Id="rId37" Type="http://schemas.openxmlformats.org/officeDocument/2006/relationships/hyperlink" Target="https://www.eba.europa.eu/sites/default/files/2024-10/e47fddb6-1255-40aa-88ff-5e29bf65e72f/Conversion%20file%20between%20DPM%201.0%20and%20DPM%202.0%20glossary.zip" TargetMode="External"/><Relationship Id="rId40" Type="http://schemas.openxmlformats.org/officeDocument/2006/relationships/hyperlink" Target="https://www.eba.europa.eu/sites/default/files/2024-10/b0b9be26-2739-4b38-82ff-df4688a27bf0/sample_instances.zip" TargetMode="External"/><Relationship Id="rId45"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www.eba.europa.eu/sites/default/files/2024-10/58b1f18c-5ada-4464-a7fd-04fec2d81230/faq_for_reporting_innovations_and_upcoming_releases.pdf" TargetMode="External"/><Relationship Id="rId23" Type="http://schemas.openxmlformats.org/officeDocument/2006/relationships/hyperlink" Target="mailto:press@eba.europa.eu" TargetMode="External"/><Relationship Id="rId28" Type="http://schemas.openxmlformats.org/officeDocument/2006/relationships/hyperlink" Target="https://www.eba.europa.eu/sites/default/files/2023-11/8db78a03-71e2-41c2-ad77-06115aeda04f/Sample%20taxonomy%20and%20instance%20documents%20for%20revised%20taxonomy%20architecture.zip" TargetMode="External"/><Relationship Id="rId36" Type="http://schemas.openxmlformats.org/officeDocument/2006/relationships/hyperlink" Target="https://www.eba.europa.eu/sites/default/files/2024-10/311eb7eb-9695-40ff-9a3e-e91b655ad4dd/eba_identical_cells_4.0.csv" TargetMode="External"/><Relationship Id="rId10" Type="http://schemas.openxmlformats.org/officeDocument/2006/relationships/hyperlink" Target="https://www.xbrl.org/tag/eba/" TargetMode="External"/><Relationship Id="rId19" Type="http://schemas.openxmlformats.org/officeDocument/2006/relationships/hyperlink" Target="https://www.eba.europa.eu/activities/single-rulebook/regulatory-activities/asset-referenced-and-e-money-tokens-micar/implementing-technical-standards-reporting-arts-and-emts-denominated-non-eu-currency-under-micar" TargetMode="External"/><Relationship Id="rId31" Type="http://schemas.openxmlformats.org/officeDocument/2006/relationships/hyperlink" Target="https://www.eba.europa.eu/sites/default/files/2024-10/b7ef276a-80cd-4e4b-a93c-b672c07f0e55/eba_validation_rules_2024-09-11.xlsx" TargetMode="External"/><Relationship Id="rId44" Type="http://schemas.openxmlformats.org/officeDocument/2006/relationships/hyperlink" Target="https://www.eba.europa.eu/activities/single-rulebook/regulatory-activities/asset-referenced-and-e-money-tokens-micar/implementing-technical-standards-reporting-arts-and-emts-denominated-non-eu-currency-under-micar" TargetMode="External"/><Relationship Id="rId4" Type="http://schemas.openxmlformats.org/officeDocument/2006/relationships/webSettings" Target="webSettings.xml"/><Relationship Id="rId9" Type="http://schemas.openxmlformats.org/officeDocument/2006/relationships/hyperlink" Target="https://www.xbrl.org/tag/dmp-2-0/" TargetMode="External"/><Relationship Id="rId14" Type="http://schemas.openxmlformats.org/officeDocument/2006/relationships/hyperlink" Target="https://www.eba.europa.eu/risk-and-data-analysis/reporting-frameworks/dpm-data-dictionary" TargetMode="External"/><Relationship Id="rId22" Type="http://schemas.openxmlformats.org/officeDocument/2006/relationships/hyperlink" Target="https://www.eba.europa.eu/publications-and-media/press-releases/esas-respond-european-commissions-rejection-technical-standards-registers-information-under-digital" TargetMode="External"/><Relationship Id="rId27" Type="http://schemas.openxmlformats.org/officeDocument/2006/relationships/hyperlink" Target="https://www.eba.europa.eu/sites/default/files/document_library/Risk%20Analysis%20and%20Data/Reporting%20Frameworks/Reporting%20framework%203.4/1054952/EBA%20and%20EIOPA%20taxonomy%20architecture%20v2.0-20230424.pdf" TargetMode="External"/><Relationship Id="rId30" Type="http://schemas.openxmlformats.org/officeDocument/2006/relationships/hyperlink" Target="https://www.eba.europa.eu/sites/default/files/2024-10/2b372986-bff4-4997-ba3b-81fc6873d177/eba_scopes_2024-10-23.xlsx" TargetMode="External"/><Relationship Id="rId35" Type="http://schemas.openxmlformats.org/officeDocument/2006/relationships/hyperlink" Target="https://www.eba.europa.eu/sites/default/files/2024-10/55911942-454a-4d6f-accc-c89a9adcc4ce/annotated_templates_4.0.zip" TargetMode="External"/><Relationship Id="rId43" Type="http://schemas.openxmlformats.org/officeDocument/2006/relationships/hyperlink" Target="https://www.eba.europa.eu/activities/single-rulebook/regulatory-activities/supervisory-reporting/implementing-technical-standards-supervisory-reporting-changes-related-crr3crd6-step-1" TargetMode="External"/><Relationship Id="rId8" Type="http://schemas.openxmlformats.org/officeDocument/2006/relationships/hyperlink" Target="https://www.xbrl.org/tag/reporting/" TargetMode="Externa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ba.europa.eu/risk-and-data-analysis/reporting-frameworks/reporting-framework-40" TargetMode="External"/><Relationship Id="rId25" Type="http://schemas.openxmlformats.org/officeDocument/2006/relationships/hyperlink" Target="https://twitter.com/EBA_News" TargetMode="External"/><Relationship Id="rId33" Type="http://schemas.openxmlformats.org/officeDocument/2006/relationships/hyperlink" Target="https://www.eba.europa.eu/sites/default/files/2024-10/9af4a241-1a4e-4ee4-9eb0-5f61648522e2/dpm_2.0_release_4.0.zip" TargetMode="External"/><Relationship Id="rId38" Type="http://schemas.openxmlformats.org/officeDocument/2006/relationships/hyperlink" Target="https://www.eba.europa.eu/sites/default/files/2024-10/afb104e0-0284-4248-b255-657bf6e259ad/full_taxonomy.zip" TargetMode="External"/><Relationship Id="rId46" Type="http://schemas.openxmlformats.org/officeDocument/2006/relationships/theme" Target="theme/theme1.xml"/><Relationship Id="rId20" Type="http://schemas.openxmlformats.org/officeDocument/2006/relationships/hyperlink" Target="https://www.eba.europa.eu/activities/single-rulebook/regulatory-activities/supervisory-reporting/implementing-technical-standards-supervisory-reporting-changes-related-crr3crd6-step-1" TargetMode="External"/><Relationship Id="rId41" Type="http://schemas.openxmlformats.org/officeDocument/2006/relationships/hyperlink" Target="https://www.eba.europa.eu/sites/default/files/2024-10/58b1f18c-5ada-4464-a7fd-04fec2d81230/faq_for_reporting_innovations_and_upcoming_release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2467</Words>
  <Characters>13572</Characters>
  <Application>Microsoft Office Word</Application>
  <DocSecurity>0</DocSecurity>
  <Lines>113</Lines>
  <Paragraphs>32</Paragraphs>
  <ScaleCrop>false</ScaleCrop>
  <Company/>
  <LinksUpToDate>false</LinksUpToDate>
  <CharactersWithSpaces>16007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5</cp:revision>
  <dcterms:created xsi:type="dcterms:W3CDTF">2024-11-05T03:51:00Z</dcterms:created>
  <dcterms:modified xsi:type="dcterms:W3CDTF">2024-11-12T02:30:00Z</dcterms:modified>
</cp:coreProperties>
</file>