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C9D4" w14:textId="77777777" w:rsidR="00AF0325" w:rsidRPr="00580942" w:rsidRDefault="00AF0325" w:rsidP="00AF0325">
      <w:pPr>
        <w:jc w:val="both"/>
        <w:rPr>
          <w:rFonts w:ascii="Abadi" w:hAnsi="Abadi"/>
          <w:sz w:val="28"/>
          <w:szCs w:val="28"/>
        </w:rPr>
      </w:pPr>
      <w:r w:rsidRPr="00580942">
        <w:rPr>
          <w:rFonts w:ascii="Abadi" w:hAnsi="Abadi"/>
          <w:sz w:val="28"/>
          <w:szCs w:val="28"/>
        </w:rPr>
        <w:t>La ESMA establece estrictas prioridades para 2024, con la doble materialidad como prioridad</w:t>
      </w:r>
    </w:p>
    <w:p w14:paraId="74A79B0C" w14:textId="5C1880D1" w:rsidR="00AF0325" w:rsidRPr="00AF0325" w:rsidRDefault="00AF0325" w:rsidP="00AF0325">
      <w:pPr>
        <w:jc w:val="both"/>
      </w:pPr>
      <w:r w:rsidRPr="00AF0325">
        <w:rPr>
          <w:noProof/>
        </w:rPr>
        <w:drawing>
          <wp:inline distT="0" distB="0" distL="0" distR="0" wp14:anchorId="64677C34" wp14:editId="0E07CB8C">
            <wp:extent cx="5612130" cy="37477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25F69405" w14:textId="3893F440" w:rsidR="0032744A" w:rsidRPr="00AF0325" w:rsidRDefault="0032744A" w:rsidP="0032744A">
      <w:pPr>
        <w:jc w:val="both"/>
      </w:pPr>
      <w:r w:rsidRPr="00AF0325">
        <w:t>Publicado el 3 de noviembre de 2024 por</w:t>
      </w:r>
      <w:r>
        <w:t xml:space="preserve"> </w:t>
      </w:r>
      <w:hyperlink r:id="rId5" w:history="1">
        <w:r w:rsidRPr="00AF0325">
          <w:rPr>
            <w:rStyle w:val="Hipervnculo"/>
            <w:b/>
            <w:bCs/>
          </w:rPr>
          <w:t>Editor</w:t>
        </w:r>
      </w:hyperlink>
    </w:p>
    <w:p w14:paraId="5CF412DE" w14:textId="0E491CE6" w:rsidR="00AF0325" w:rsidRPr="00AF0325" w:rsidRDefault="00AF0325" w:rsidP="00AF0325">
      <w:pPr>
        <w:jc w:val="both"/>
      </w:pPr>
      <w:r w:rsidRPr="00AF0325">
        <w:t>La semana pasada, la Autoridad Europea de Valores y Mercados (ESMA) presentó sus Prioridades Comunes Europeas de Ejecución (ECEP, por sus siglas en inglés) para 2024 en materia de informes corporativos. Este año, la Autoridad Europea de Valores y Mercados (ESMA) está redoblando su apuesta por la “doble materialidad”, la idea de que los informes de sostenibilidad deben reflejar no solo los impactos financieros, sino también los sociales y ambientales más amplios.</w:t>
      </w:r>
      <w:r w:rsidR="00EB53E0">
        <w:t xml:space="preserve"> </w:t>
      </w:r>
      <w:r w:rsidRPr="00AF0325">
        <w:t>En otras palabras, no se trata sólo de lo que afecta su resultado final, sino de cómo su empresa afecta todo lo demás.</w:t>
      </w:r>
    </w:p>
    <w:p w14:paraId="1A84C410" w14:textId="77777777" w:rsidR="00AF0325" w:rsidRPr="00AF0325" w:rsidRDefault="00AF0325" w:rsidP="00AF0325">
      <w:pPr>
        <w:jc w:val="both"/>
      </w:pPr>
      <w:r w:rsidRPr="00AF0325">
        <w:t>Para 2024, la ESMA se centrará en tres áreas principales: la divulgación de información financiera, la presentación de informes de sostenibilidad basados ​​en la materialidad según las Normas Europeas de Información sobre Sostenibilidad (ESRS, por sus siglas en inglés) y las mejoras en la calidad de la presentación de informes digitales en el Formato Electrónico Único Europeo (ESEF, por sus siglas en inglés). La postura de la ESMA sobre la calidad de la presentación de informes es directa y deja poco margen para la ambigüedad: los riesgos de liquidez, las evaluaciones exhaustivas de la materialidad y las presentaciones digitales sin errores ya no son negociables en la búsqueda de una presentación de informes clara y transparente.</w:t>
      </w:r>
    </w:p>
    <w:p w14:paraId="7262657D" w14:textId="77777777" w:rsidR="00AF0325" w:rsidRPr="00AF0325" w:rsidRDefault="00AF0325" w:rsidP="00AF0325">
      <w:pPr>
        <w:jc w:val="both"/>
      </w:pPr>
      <w:r w:rsidRPr="00AF0325">
        <w:t xml:space="preserve">Las directrices de este año subrayan la importancia de integrar las perspectivas financieras y de sostenibilidad, ofreciendo a las partes interesadas una visión completa del desempeño corporativo. </w:t>
      </w:r>
      <w:r w:rsidRPr="00AF0325">
        <w:lastRenderedPageBreak/>
        <w:t>¿El objetivo? Reforzar la confianza en las divulgaciones públicas ayudando a las empresas a contar una historia completa.</w:t>
      </w:r>
    </w:p>
    <w:p w14:paraId="43DC57C8" w14:textId="352EFCDE" w:rsidR="00AF0325" w:rsidRPr="00AF0325" w:rsidRDefault="00AF0325" w:rsidP="00AF0325">
      <w:pPr>
        <w:jc w:val="both"/>
      </w:pPr>
      <w:r w:rsidRPr="00AF0325">
        <w:t>Para ver un desglose completo de las prioridades para 2024, consulte el anuncio de la ESMA</w:t>
      </w:r>
      <w:r w:rsidR="0032744A">
        <w:t xml:space="preserve"> </w:t>
      </w:r>
      <w:hyperlink r:id="rId6" w:tgtFrame="_blank" w:history="1">
        <w:r w:rsidRPr="00AF0325">
          <w:rPr>
            <w:rStyle w:val="Hipervnculo"/>
          </w:rPr>
          <w:t>aquí</w:t>
        </w:r>
      </w:hyperlink>
      <w:r w:rsidRPr="00AF0325">
        <w:t>.</w:t>
      </w:r>
    </w:p>
    <w:p w14:paraId="772078BB" w14:textId="0D8BC69B" w:rsidR="00AF0325" w:rsidRPr="00AF0325" w:rsidRDefault="00DF7D7E" w:rsidP="00AF0325">
      <w:pPr>
        <w:jc w:val="both"/>
      </w:pPr>
      <w:hyperlink r:id="rId7" w:history="1">
        <w:r w:rsidR="00AF0325" w:rsidRPr="00AF0325">
          <w:rPr>
            <w:rStyle w:val="Hipervnculo"/>
          </w:rPr>
          <w:t>Informe de</w:t>
        </w:r>
        <w:r w:rsidR="0032744A">
          <w:rPr>
            <w:rStyle w:val="Hipervnculo"/>
          </w:rPr>
          <w:t xml:space="preserve"> </w:t>
        </w:r>
      </w:hyperlink>
      <w:hyperlink r:id="rId8" w:history="1">
        <w:r w:rsidR="00AF0325" w:rsidRPr="00AF0325">
          <w:rPr>
            <w:rStyle w:val="Hipervnculo"/>
          </w:rPr>
          <w:t>materialidad</w:t>
        </w:r>
        <w:r w:rsidR="0032744A">
          <w:rPr>
            <w:rStyle w:val="Hipervnculo"/>
          </w:rPr>
          <w:t xml:space="preserve"> </w:t>
        </w:r>
      </w:hyperlink>
      <w:hyperlink r:id="rId9" w:history="1">
        <w:r w:rsidR="00AF0325" w:rsidRPr="00AF0325">
          <w:rPr>
            <w:rStyle w:val="Hipervnculo"/>
          </w:rPr>
          <w:t>ESG</w:t>
        </w:r>
        <w:r w:rsidR="0032744A">
          <w:rPr>
            <w:rStyle w:val="Hipervnculo"/>
          </w:rPr>
          <w:t xml:space="preserve"> </w:t>
        </w:r>
      </w:hyperlink>
      <w:hyperlink r:id="rId10" w:history="1">
        <w:r w:rsidR="00AF0325" w:rsidRPr="00AF0325">
          <w:rPr>
            <w:rStyle w:val="Hipervnculo"/>
          </w:rPr>
          <w:t>ESMA</w:t>
        </w:r>
      </w:hyperlink>
    </w:p>
    <w:p w14:paraId="33C49F69" w14:textId="2CFE7F67" w:rsidR="00AF0325" w:rsidRPr="00AF0325" w:rsidRDefault="00AF0325" w:rsidP="00AF0325">
      <w:pPr>
        <w:jc w:val="both"/>
      </w:pPr>
    </w:p>
    <w:p w14:paraId="0FDDEC61" w14:textId="26283604" w:rsidR="0057581D" w:rsidRDefault="0057581D" w:rsidP="00AF0325">
      <w:pPr>
        <w:jc w:val="both"/>
      </w:pPr>
    </w:p>
    <w:p w14:paraId="6FAD0394" w14:textId="5B6F3395" w:rsidR="00AF0325" w:rsidRDefault="00AF0325" w:rsidP="00AF0325">
      <w:pPr>
        <w:jc w:val="both"/>
      </w:pPr>
    </w:p>
    <w:p w14:paraId="541ACDD8" w14:textId="2357B4D5" w:rsidR="00AF0325" w:rsidRDefault="00AF0325" w:rsidP="00AF0325">
      <w:pPr>
        <w:jc w:val="both"/>
      </w:pPr>
    </w:p>
    <w:p w14:paraId="76C10F4A" w14:textId="677487C3" w:rsidR="00AF0325" w:rsidRDefault="00AF0325" w:rsidP="00AF0325">
      <w:pPr>
        <w:jc w:val="both"/>
      </w:pPr>
    </w:p>
    <w:p w14:paraId="7C8923AB" w14:textId="342A638A" w:rsidR="00AF0325" w:rsidRDefault="00AF0325" w:rsidP="00AF0325">
      <w:pPr>
        <w:jc w:val="both"/>
      </w:pPr>
    </w:p>
    <w:p w14:paraId="593967E5" w14:textId="0A538FF7" w:rsidR="00AF0325" w:rsidRDefault="00AF0325" w:rsidP="00AF0325">
      <w:pPr>
        <w:jc w:val="both"/>
      </w:pPr>
    </w:p>
    <w:p w14:paraId="42C6AD0E" w14:textId="5AE9C003" w:rsidR="00AF0325" w:rsidRDefault="00AF0325" w:rsidP="00AF0325">
      <w:pPr>
        <w:jc w:val="both"/>
      </w:pPr>
    </w:p>
    <w:p w14:paraId="54780955" w14:textId="464EDDCF" w:rsidR="00AF0325" w:rsidRDefault="00AF0325" w:rsidP="00AF0325">
      <w:pPr>
        <w:jc w:val="both"/>
      </w:pPr>
    </w:p>
    <w:p w14:paraId="5AA01C33" w14:textId="4B66ADBD" w:rsidR="0032744A" w:rsidRDefault="0032744A" w:rsidP="00AF0325">
      <w:pPr>
        <w:jc w:val="both"/>
      </w:pPr>
    </w:p>
    <w:p w14:paraId="3D240400" w14:textId="29BA53C3" w:rsidR="0032744A" w:rsidRDefault="0032744A" w:rsidP="00AF0325">
      <w:pPr>
        <w:jc w:val="both"/>
      </w:pPr>
    </w:p>
    <w:p w14:paraId="6C2C188F" w14:textId="72B7130B" w:rsidR="0032744A" w:rsidRDefault="0032744A" w:rsidP="00AF0325">
      <w:pPr>
        <w:jc w:val="both"/>
      </w:pPr>
    </w:p>
    <w:p w14:paraId="746278D1" w14:textId="00C1D274" w:rsidR="0032744A" w:rsidRDefault="0032744A" w:rsidP="00AF0325">
      <w:pPr>
        <w:jc w:val="both"/>
      </w:pPr>
    </w:p>
    <w:p w14:paraId="26B36E9B" w14:textId="4CA6E835" w:rsidR="0032744A" w:rsidRDefault="0032744A" w:rsidP="00AF0325">
      <w:pPr>
        <w:jc w:val="both"/>
      </w:pPr>
    </w:p>
    <w:p w14:paraId="3A270B90" w14:textId="06F36E6E" w:rsidR="0032744A" w:rsidRDefault="0032744A" w:rsidP="00AF0325">
      <w:pPr>
        <w:jc w:val="both"/>
      </w:pPr>
    </w:p>
    <w:p w14:paraId="43E020A4" w14:textId="085113A4" w:rsidR="0032744A" w:rsidRDefault="0032744A" w:rsidP="00AF0325">
      <w:pPr>
        <w:jc w:val="both"/>
      </w:pPr>
    </w:p>
    <w:p w14:paraId="296B28D0" w14:textId="0F0969D0" w:rsidR="0032744A" w:rsidRDefault="0032744A" w:rsidP="00AF0325">
      <w:pPr>
        <w:jc w:val="both"/>
      </w:pPr>
    </w:p>
    <w:p w14:paraId="772D1784" w14:textId="17EC23AF" w:rsidR="0032744A" w:rsidRDefault="0032744A" w:rsidP="00AF0325">
      <w:pPr>
        <w:jc w:val="both"/>
      </w:pPr>
    </w:p>
    <w:p w14:paraId="5921A672" w14:textId="7AFB5441" w:rsidR="0032744A" w:rsidRDefault="0032744A" w:rsidP="00AF0325">
      <w:pPr>
        <w:jc w:val="both"/>
      </w:pPr>
    </w:p>
    <w:p w14:paraId="16DC3096" w14:textId="18409E6C" w:rsidR="0032744A" w:rsidRDefault="0032744A" w:rsidP="00AF0325">
      <w:pPr>
        <w:jc w:val="both"/>
      </w:pPr>
    </w:p>
    <w:p w14:paraId="020A43FE" w14:textId="5EDF27EF" w:rsidR="0032744A" w:rsidRDefault="0032744A" w:rsidP="00AF0325">
      <w:pPr>
        <w:jc w:val="both"/>
      </w:pPr>
    </w:p>
    <w:p w14:paraId="320BF2AA" w14:textId="0F693163" w:rsidR="0032744A" w:rsidRDefault="0032744A" w:rsidP="00AF0325">
      <w:pPr>
        <w:jc w:val="both"/>
      </w:pPr>
    </w:p>
    <w:p w14:paraId="51985D55" w14:textId="77777777" w:rsidR="0032744A" w:rsidRDefault="0032744A" w:rsidP="00AF0325">
      <w:pPr>
        <w:jc w:val="both"/>
      </w:pPr>
    </w:p>
    <w:p w14:paraId="68008EFD" w14:textId="787A6283" w:rsidR="00AF0325" w:rsidRDefault="00AF0325" w:rsidP="00AF0325">
      <w:pPr>
        <w:jc w:val="both"/>
      </w:pPr>
    </w:p>
    <w:p w14:paraId="0A223D4B" w14:textId="011D63C7" w:rsidR="00AF0325" w:rsidRDefault="00AF0325" w:rsidP="00AF0325">
      <w:pPr>
        <w:jc w:val="both"/>
      </w:pPr>
      <w:r w:rsidRPr="00AF0325">
        <w:rPr>
          <w:noProof/>
        </w:rPr>
        <w:lastRenderedPageBreak/>
        <w:drawing>
          <wp:inline distT="0" distB="0" distL="0" distR="0" wp14:anchorId="5F897E44" wp14:editId="508C8B2E">
            <wp:extent cx="5612130" cy="5651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65150"/>
                    </a:xfrm>
                    <a:prstGeom prst="rect">
                      <a:avLst/>
                    </a:prstGeom>
                  </pic:spPr>
                </pic:pic>
              </a:graphicData>
            </a:graphic>
          </wp:inline>
        </w:drawing>
      </w:r>
    </w:p>
    <w:p w14:paraId="7661A37E" w14:textId="77777777" w:rsidR="00AF0325" w:rsidRPr="00AF0325" w:rsidRDefault="00DF7D7E" w:rsidP="00AF0325">
      <w:pPr>
        <w:jc w:val="both"/>
        <w:rPr>
          <w:b/>
          <w:bCs/>
        </w:rPr>
      </w:pPr>
      <w:hyperlink r:id="rId12" w:history="1">
        <w:r w:rsidR="00AF0325" w:rsidRPr="00AF0325">
          <w:rPr>
            <w:rStyle w:val="Hipervnculo"/>
            <w:b/>
            <w:bCs/>
          </w:rPr>
          <w:t>Programa de trabajo de la ESMA para 2025: centrarse en las prioridades estratégicas clave y en la implementación de nuevos mandatos</w:t>
        </w:r>
      </w:hyperlink>
    </w:p>
    <w:p w14:paraId="1ACA0A24" w14:textId="77777777" w:rsidR="00AF0325" w:rsidRPr="00AF0325" w:rsidRDefault="00DF7D7E" w:rsidP="00AF0325">
      <w:pPr>
        <w:jc w:val="both"/>
      </w:pPr>
      <w:hyperlink r:id="rId13" w:history="1">
        <w:r w:rsidR="00AF0325" w:rsidRPr="00AF0325">
          <w:rPr>
            <w:rStyle w:val="Hipervnculo"/>
          </w:rPr>
          <w:t>Acerca de la ESMA</w:t>
        </w:r>
      </w:hyperlink>
    </w:p>
    <w:p w14:paraId="53F3DA2C" w14:textId="77777777" w:rsidR="00AF0325" w:rsidRPr="00AF0325" w:rsidRDefault="00DF7D7E" w:rsidP="00AF0325">
      <w:pPr>
        <w:jc w:val="both"/>
      </w:pPr>
      <w:hyperlink r:id="rId14" w:history="1">
        <w:r w:rsidR="00AF0325" w:rsidRPr="00AF0325">
          <w:rPr>
            <w:rStyle w:val="Hipervnculo"/>
          </w:rPr>
          <w:t>Comunicados de prensa</w:t>
        </w:r>
      </w:hyperlink>
    </w:p>
    <w:p w14:paraId="4D05B4AF" w14:textId="77777777" w:rsidR="00AF0325" w:rsidRPr="00AF0325" w:rsidRDefault="00AF0325" w:rsidP="00AF0325">
      <w:pPr>
        <w:jc w:val="both"/>
      </w:pPr>
      <w:r w:rsidRPr="00AF0325">
        <w:t>01/10/2024</w:t>
      </w:r>
    </w:p>
    <w:p w14:paraId="6EF16A39" w14:textId="08E7BDE7" w:rsidR="00AF0325" w:rsidRPr="00AF0325" w:rsidRDefault="00AF0325" w:rsidP="00AF0325">
      <w:pPr>
        <w:jc w:val="both"/>
      </w:pPr>
      <w:r w:rsidRPr="00AF0325">
        <w:t>La ESMA, el regulador y supervisor de los mercados financieros de la UE, ha publicado su</w:t>
      </w:r>
      <w:r w:rsidR="0032744A">
        <w:t xml:space="preserve"> </w:t>
      </w:r>
      <w:hyperlink r:id="rId15" w:history="1">
        <w:r w:rsidRPr="00AF0325">
          <w:rPr>
            <w:rStyle w:val="Hipervnculo"/>
          </w:rPr>
          <w:t>Programa de Trabajo Anual (PTA) para 2025</w:t>
        </w:r>
      </w:hyperlink>
      <w:r w:rsidRPr="00AF0325">
        <w:t>, que reafirma la orientación estratégica de la ESMA y su compromiso de salvaguardar unos mercados financieros europeos resilientes, transparentes y sostenibles.</w:t>
      </w:r>
    </w:p>
    <w:p w14:paraId="3E8505F1" w14:textId="106C1D98" w:rsidR="00AF0325" w:rsidRPr="00AF0325" w:rsidRDefault="00AF0325" w:rsidP="00AF0325">
      <w:pPr>
        <w:jc w:val="both"/>
      </w:pPr>
      <w:r w:rsidRPr="00AF0325">
        <w:t>La ESMA ha contribuido al debate en curso sobre cómo hacer que</w:t>
      </w:r>
      <w:r w:rsidR="0032744A">
        <w:t xml:space="preserve"> </w:t>
      </w:r>
      <w:hyperlink r:id="rId16" w:history="1">
        <w:r w:rsidRPr="00AF0325">
          <w:rPr>
            <w:rStyle w:val="Hipervnculo"/>
          </w:rPr>
          <w:t>los mercados de capitales europeos sean más eficientes y atractivos</w:t>
        </w:r>
      </w:hyperlink>
      <w:r w:rsidRPr="00AF0325">
        <w:t>, y en 2025 avanzará en aquellos aspectos que están bajo su control, al tiempo que trabajará con los colegisladores y otros para apoyar la construcción de la Unión Europea de Ahorro e Inversión.</w:t>
      </w:r>
    </w:p>
    <w:p w14:paraId="1041C47F" w14:textId="77777777" w:rsidR="00AF0325" w:rsidRPr="00AF0325" w:rsidRDefault="00AF0325" w:rsidP="00AF0325">
      <w:pPr>
        <w:jc w:val="both"/>
      </w:pPr>
      <w:r w:rsidRPr="00AF0325">
        <w:t>Una parte importante del trabajo de la ESMA en 2025 consistirá en la elaboración de políticas para facilitar la implementación del gran número de mandatos recibidos en el ciclo legislativo anterior y la preparación de nuevos mandatos, como los Reglamentos sobre Bonos Verdes Europeos y sobre Proveedores de Calificaciones ESG. Tras la adopción de EMIR 3, la ESMA asumirá nuevas responsabilidades y desarrollará un número sustancial de normas técnicas, incluido el nuevo Requisito de Cuenta Activa.</w:t>
      </w:r>
    </w:p>
    <w:p w14:paraId="461BFCBA" w14:textId="1EB7FEC0" w:rsidR="00AF0325" w:rsidRPr="00AF0325" w:rsidRDefault="00AF0325" w:rsidP="00AF0325">
      <w:pPr>
        <w:jc w:val="both"/>
      </w:pPr>
      <w:r w:rsidRPr="00AF0325">
        <w:t>En 2025 también se seleccionará y autorizará al primer proveedor de cintas consolidadas, un paso importante para mejorar la transparencia de los mercados europeos. La implementación efectiva de MiCA será crucial para garantizar una protección adecuada para los inversores y enfoques de supervisión convergentes para los proveedores de servicios de criptoactivos.</w:t>
      </w:r>
    </w:p>
    <w:p w14:paraId="3ABB3513" w14:textId="13B4DDE0" w:rsidR="00AF0325" w:rsidRPr="00580942" w:rsidRDefault="00AF0325" w:rsidP="00580942">
      <w:pPr>
        <w:spacing w:after="0"/>
        <w:jc w:val="both"/>
        <w:rPr>
          <w:rFonts w:ascii="Abadi" w:hAnsi="Abadi"/>
          <w:sz w:val="24"/>
          <w:szCs w:val="24"/>
        </w:rPr>
      </w:pPr>
      <w:r w:rsidRPr="00580942">
        <w:rPr>
          <w:rFonts w:ascii="Abadi" w:hAnsi="Abadi"/>
          <w:sz w:val="24"/>
          <w:szCs w:val="24"/>
        </w:rPr>
        <w:t>Verena Ross, presidenta, dijo:</w:t>
      </w:r>
    </w:p>
    <w:p w14:paraId="3AEFFB03" w14:textId="77777777" w:rsidR="00AF0325" w:rsidRPr="00AF0325" w:rsidRDefault="00AF0325" w:rsidP="00AF0325">
      <w:pPr>
        <w:jc w:val="both"/>
      </w:pPr>
      <w:r w:rsidRPr="00AF0325">
        <w:rPr>
          <w:i/>
          <w:iCs/>
        </w:rPr>
        <w:t>“En 2025, la ESMA tiene previsto cumplir una serie ambiciosa de mandatos técnicos que se nos confiaron durante el último ciclo legislativo. A través de estas tareas de implementación, proporcionaremos claridad para ayudar a los participantes del mercado y apoyar a las autoridades nacionales competentes a lograr enfoques de supervisión convergentes”.</w:t>
      </w:r>
    </w:p>
    <w:p w14:paraId="237D6527" w14:textId="77777777" w:rsidR="00AF0325" w:rsidRPr="00AF0325" w:rsidRDefault="00AF0325" w:rsidP="00AF0325">
      <w:pPr>
        <w:jc w:val="both"/>
      </w:pPr>
      <w:r w:rsidRPr="00AF0325">
        <w:rPr>
          <w:i/>
          <w:iCs/>
        </w:rPr>
        <w:t>Para que los mercados de capitales de la UE sean más eficaces y eficientes, la ESMA está preparada para apoyar y asesorar a la nueva Comisión y a los colegisladores a medida que tomen forma las nuevas prioridades».</w:t>
      </w:r>
    </w:p>
    <w:p w14:paraId="1C9E5273" w14:textId="77777777" w:rsidR="00AF0325" w:rsidRPr="00580942" w:rsidRDefault="00AF0325" w:rsidP="00580942">
      <w:pPr>
        <w:spacing w:after="0"/>
        <w:jc w:val="both"/>
        <w:rPr>
          <w:rFonts w:ascii="Abadi" w:hAnsi="Abadi"/>
          <w:sz w:val="24"/>
          <w:szCs w:val="24"/>
        </w:rPr>
      </w:pPr>
      <w:r w:rsidRPr="00580942">
        <w:rPr>
          <w:rFonts w:ascii="Abadi" w:hAnsi="Abadi"/>
          <w:sz w:val="24"/>
          <w:szCs w:val="24"/>
        </w:rPr>
        <w:t>Natasha Cazenave, directora ejecutiva, dijo:</w:t>
      </w:r>
    </w:p>
    <w:p w14:paraId="00CDD1FC" w14:textId="67FC0DC7" w:rsidR="00AF0325" w:rsidRPr="00AF0325" w:rsidRDefault="00AF0325" w:rsidP="00AF0325">
      <w:pPr>
        <w:jc w:val="both"/>
      </w:pPr>
      <w:r w:rsidRPr="00AF0325">
        <w:rPr>
          <w:i/>
          <w:iCs/>
        </w:rPr>
        <w:t xml:space="preserve">“En 2025, la ESMA se preparará para asumir una serie de nuevas responsabilidades de supervisión. La entrada en vigor de la Ley de Resiliencia Operativa Digital en 2025 marca el final de una intensa fase preparatoria, durante la cual la ESMA trabajó en estrecha colaboración con la EBA y la EIOPA, </w:t>
      </w:r>
      <w:r w:rsidRPr="00AF0325">
        <w:rPr>
          <w:i/>
          <w:iCs/>
        </w:rPr>
        <w:lastRenderedPageBreak/>
        <w:t>los participantes del mercado y las partes interesadas pertinentes para respaldar la implementación convergente de un marco sólido de resiliencia operativa”.</w:t>
      </w:r>
    </w:p>
    <w:p w14:paraId="680D0847" w14:textId="77777777" w:rsidR="00EB53E0" w:rsidRDefault="00AF0325" w:rsidP="00AF0325">
      <w:pPr>
        <w:jc w:val="both"/>
        <w:rPr>
          <w:i/>
          <w:iCs/>
        </w:rPr>
      </w:pPr>
      <w:r w:rsidRPr="00AF0325">
        <w:rPr>
          <w:i/>
          <w:iCs/>
        </w:rPr>
        <w:t>“Mientras la ESMA se prepara para asumir nuevas tareas de supervisión y control, me gustaría agradecer al personal de la ESMA por su compromiso inquebrantable, su sólida experiencia y sus esfuerzos sostenidos”.</w:t>
      </w:r>
    </w:p>
    <w:p w14:paraId="72FD599B" w14:textId="3AC30DFA" w:rsidR="00AF0325" w:rsidRPr="00AF0325" w:rsidRDefault="00AF0325" w:rsidP="00AF0325">
      <w:pPr>
        <w:jc w:val="both"/>
      </w:pPr>
    </w:p>
    <w:p w14:paraId="7C637DD3" w14:textId="77777777" w:rsidR="00AF0325" w:rsidRPr="00580942" w:rsidRDefault="00AF0325" w:rsidP="00AF0325">
      <w:pPr>
        <w:jc w:val="both"/>
        <w:rPr>
          <w:rFonts w:ascii="Abadi" w:hAnsi="Abadi"/>
          <w:sz w:val="26"/>
          <w:szCs w:val="26"/>
        </w:rPr>
      </w:pPr>
      <w:r w:rsidRPr="00580942">
        <w:rPr>
          <w:rFonts w:ascii="Abadi" w:hAnsi="Abadi"/>
          <w:sz w:val="26"/>
          <w:szCs w:val="26"/>
        </w:rPr>
        <w:t>Enfoque continuo en prioridades estratégicas y mercados de capital eficientes</w:t>
      </w:r>
    </w:p>
    <w:p w14:paraId="0FDF1066" w14:textId="5706A1A5" w:rsidR="00AF0325" w:rsidRPr="00AF0325" w:rsidRDefault="00AF0325" w:rsidP="00AF0325">
      <w:pPr>
        <w:jc w:val="both"/>
      </w:pPr>
      <w:r w:rsidRPr="00AF0325">
        <w:t>El Programa de Trabajo para 2025 subraya la dedicación de la AEVM a brindar oportunidades adecuadas y salvaguardar los intereses de los inversores minoristas que deseen participar en los mercados de capitales de la UE. Además de los preparativos para posibles nuevas responsabilidades en el marco de la Estrategia de Inversión Minorista y para el posible acortamiento del ciclo de liquidación (T+1), los resultados clave incluyen normas y directrices técnicas en el marco de MiFIR/MiFID II y AIFMD/UCITS.</w:t>
      </w:r>
    </w:p>
    <w:p w14:paraId="7B84DF8F" w14:textId="0ED9DD2C" w:rsidR="00AF0325" w:rsidRPr="00AF0325" w:rsidRDefault="00AF0325" w:rsidP="00AF0325">
      <w:pPr>
        <w:jc w:val="both"/>
      </w:pPr>
      <w:r w:rsidRPr="00AF0325">
        <w:t>En 2025, la ESMA trabajará para seguir reforzando la supervisión, centrándose en una supervisión coordinada y eficaz en todos los mercados financieros de la UE. La ESMA seguirá utilizando todas las herramientas de su conjunto de herramientas de convergencia para armonizar aún más los enfoques y prácticas de supervisión en todo su ámbito de competencias, incluidas las acciones de supervisión comunes y los intercambios prácticos sobre casos y desafíos de supervisión específicos.</w:t>
      </w:r>
    </w:p>
    <w:p w14:paraId="33816E3B" w14:textId="77777777" w:rsidR="00AF0325" w:rsidRPr="00AF0325" w:rsidRDefault="00AF0325" w:rsidP="00AF0325">
      <w:pPr>
        <w:jc w:val="both"/>
      </w:pPr>
      <w:r w:rsidRPr="00AF0325">
        <w:t>La ESMA trabajará en estrecha colaboración con las ANC para mejorar la cooperación transfronteriza y el intercambio de datos. Mediante la aplicación continua de su Estrategia de Datos y el desarrollo de proyectos comunes de SupTech y de datos, la ESMA contribuirá a la estrategia de la UE sobre datos de supervisión en los servicios financieros. En 2025, se espera que la ESMA finalice los preparativos para lanzar la primera fase del Punto de Acceso Único Europeo (ESAP) en 2026, con el objetivo de crear una plataforma centralizada para un fácil acceso a los datos públicos y la información sobre los mercados de valores.</w:t>
      </w:r>
    </w:p>
    <w:p w14:paraId="395F0DC3" w14:textId="77777777" w:rsidR="00AF0325" w:rsidRPr="00AF0325" w:rsidRDefault="00AF0325" w:rsidP="00AF0325">
      <w:pPr>
        <w:jc w:val="both"/>
      </w:pPr>
      <w:r w:rsidRPr="00AF0325">
        <w:t>Más información:</w:t>
      </w:r>
    </w:p>
    <w:p w14:paraId="0E9FB175" w14:textId="77777777" w:rsidR="00AF0325" w:rsidRPr="00AF0325" w:rsidRDefault="00AF0325" w:rsidP="0032744A">
      <w:pPr>
        <w:spacing w:after="0"/>
        <w:jc w:val="both"/>
      </w:pPr>
      <w:r w:rsidRPr="00AF0325">
        <w:rPr>
          <w:b/>
          <w:bCs/>
        </w:rPr>
        <w:t>Sarah Edwards</w:t>
      </w:r>
    </w:p>
    <w:p w14:paraId="0FA2EB38" w14:textId="77777777" w:rsidR="00EB53E0" w:rsidRDefault="00AF0325" w:rsidP="0032744A">
      <w:pPr>
        <w:spacing w:after="0"/>
        <w:jc w:val="both"/>
      </w:pPr>
      <w:r w:rsidRPr="00AF0325">
        <w:t>Responsable de comunicación:</w:t>
      </w:r>
    </w:p>
    <w:p w14:paraId="1F679126" w14:textId="78268FFE" w:rsidR="00AF0325" w:rsidRPr="00AF0325" w:rsidRDefault="00DF7D7E" w:rsidP="00AF0325">
      <w:pPr>
        <w:jc w:val="both"/>
      </w:pPr>
      <w:hyperlink r:id="rId17" w:history="1">
        <w:r w:rsidR="00AF0325" w:rsidRPr="00AF0325">
          <w:rPr>
            <w:rStyle w:val="Hipervnculo"/>
          </w:rPr>
          <w:t>press@esma.europa.eu</w:t>
        </w:r>
      </w:hyperlink>
    </w:p>
    <w:p w14:paraId="41D283F2" w14:textId="77777777" w:rsidR="00AF0325" w:rsidRDefault="00AF0325" w:rsidP="00AF0325">
      <w:pPr>
        <w:jc w:val="both"/>
      </w:pPr>
    </w:p>
    <w:sectPr w:rsidR="00AF03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25"/>
    <w:rsid w:val="0032744A"/>
    <w:rsid w:val="0057581D"/>
    <w:rsid w:val="00580942"/>
    <w:rsid w:val="00AF0325"/>
    <w:rsid w:val="00DF7D7E"/>
    <w:rsid w:val="00EB53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2AB2"/>
  <w15:chartTrackingRefBased/>
  <w15:docId w15:val="{CC8FD226-0948-4044-AFD9-827199F9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0325"/>
    <w:rPr>
      <w:color w:val="0563C1" w:themeColor="hyperlink"/>
      <w:u w:val="single"/>
    </w:rPr>
  </w:style>
  <w:style w:type="character" w:styleId="Mencinsinresolver">
    <w:name w:val="Unresolved Mention"/>
    <w:basedOn w:val="Fuentedeprrafopredeter"/>
    <w:uiPriority w:val="99"/>
    <w:semiHidden/>
    <w:unhideWhenUsed/>
    <w:rsid w:val="00AF0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751518">
      <w:bodyDiv w:val="1"/>
      <w:marLeft w:val="0"/>
      <w:marRight w:val="0"/>
      <w:marTop w:val="0"/>
      <w:marBottom w:val="0"/>
      <w:divBdr>
        <w:top w:val="none" w:sz="0" w:space="0" w:color="auto"/>
        <w:left w:val="none" w:sz="0" w:space="0" w:color="auto"/>
        <w:bottom w:val="none" w:sz="0" w:space="0" w:color="auto"/>
        <w:right w:val="none" w:sz="0" w:space="0" w:color="auto"/>
      </w:divBdr>
      <w:divsChild>
        <w:div w:id="1993823446">
          <w:marLeft w:val="0"/>
          <w:marRight w:val="0"/>
          <w:marTop w:val="0"/>
          <w:marBottom w:val="0"/>
          <w:divBdr>
            <w:top w:val="none" w:sz="0" w:space="0" w:color="auto"/>
            <w:left w:val="none" w:sz="0" w:space="0" w:color="auto"/>
            <w:bottom w:val="none" w:sz="0" w:space="0" w:color="auto"/>
            <w:right w:val="none" w:sz="0" w:space="0" w:color="auto"/>
          </w:divBdr>
          <w:divsChild>
            <w:div w:id="1082995772">
              <w:marLeft w:val="0"/>
              <w:marRight w:val="0"/>
              <w:marTop w:val="0"/>
              <w:marBottom w:val="0"/>
              <w:divBdr>
                <w:top w:val="none" w:sz="0" w:space="0" w:color="auto"/>
                <w:left w:val="none" w:sz="0" w:space="0" w:color="auto"/>
                <w:bottom w:val="none" w:sz="0" w:space="0" w:color="auto"/>
                <w:right w:val="none" w:sz="0" w:space="0" w:color="auto"/>
              </w:divBdr>
            </w:div>
            <w:div w:id="16618">
              <w:marLeft w:val="0"/>
              <w:marRight w:val="0"/>
              <w:marTop w:val="0"/>
              <w:marBottom w:val="0"/>
              <w:divBdr>
                <w:top w:val="none" w:sz="0" w:space="0" w:color="auto"/>
                <w:left w:val="none" w:sz="0" w:space="0" w:color="auto"/>
                <w:bottom w:val="none" w:sz="0" w:space="0" w:color="auto"/>
                <w:right w:val="none" w:sz="0" w:space="0" w:color="auto"/>
              </w:divBdr>
            </w:div>
          </w:divsChild>
        </w:div>
        <w:div w:id="1021055476">
          <w:marLeft w:val="0"/>
          <w:marRight w:val="0"/>
          <w:marTop w:val="0"/>
          <w:marBottom w:val="0"/>
          <w:divBdr>
            <w:top w:val="none" w:sz="0" w:space="0" w:color="auto"/>
            <w:left w:val="none" w:sz="0" w:space="0" w:color="auto"/>
            <w:bottom w:val="none" w:sz="0" w:space="0" w:color="auto"/>
            <w:right w:val="none" w:sz="0" w:space="0" w:color="auto"/>
          </w:divBdr>
        </w:div>
        <w:div w:id="1307584581">
          <w:marLeft w:val="0"/>
          <w:marRight w:val="0"/>
          <w:marTop w:val="0"/>
          <w:marBottom w:val="0"/>
          <w:divBdr>
            <w:top w:val="none" w:sz="0" w:space="0" w:color="auto"/>
            <w:left w:val="none" w:sz="0" w:space="0" w:color="auto"/>
            <w:bottom w:val="none" w:sz="0" w:space="0" w:color="auto"/>
            <w:right w:val="none" w:sz="0" w:space="0" w:color="auto"/>
          </w:divBdr>
        </w:div>
      </w:divsChild>
    </w:div>
    <w:div w:id="2109881795">
      <w:bodyDiv w:val="1"/>
      <w:marLeft w:val="0"/>
      <w:marRight w:val="0"/>
      <w:marTop w:val="0"/>
      <w:marBottom w:val="0"/>
      <w:divBdr>
        <w:top w:val="none" w:sz="0" w:space="0" w:color="auto"/>
        <w:left w:val="none" w:sz="0" w:space="0" w:color="auto"/>
        <w:bottom w:val="none" w:sz="0" w:space="0" w:color="auto"/>
        <w:right w:val="none" w:sz="0" w:space="0" w:color="auto"/>
      </w:divBdr>
      <w:divsChild>
        <w:div w:id="656500424">
          <w:marLeft w:val="0"/>
          <w:marRight w:val="0"/>
          <w:marTop w:val="0"/>
          <w:marBottom w:val="0"/>
          <w:divBdr>
            <w:top w:val="none" w:sz="0" w:space="0" w:color="auto"/>
            <w:left w:val="none" w:sz="0" w:space="0" w:color="auto"/>
            <w:bottom w:val="none" w:sz="0" w:space="0" w:color="auto"/>
            <w:right w:val="none" w:sz="0" w:space="0" w:color="auto"/>
          </w:divBdr>
        </w:div>
        <w:div w:id="793212904">
          <w:marLeft w:val="0"/>
          <w:marRight w:val="0"/>
          <w:marTop w:val="300"/>
          <w:marBottom w:val="300"/>
          <w:divBdr>
            <w:top w:val="none" w:sz="0" w:space="0" w:color="auto"/>
            <w:left w:val="none" w:sz="0" w:space="0" w:color="auto"/>
            <w:bottom w:val="none" w:sz="0" w:space="0" w:color="auto"/>
            <w:right w:val="none" w:sz="0" w:space="0" w:color="auto"/>
          </w:divBdr>
        </w:div>
        <w:div w:id="1108697772">
          <w:marLeft w:val="0"/>
          <w:marRight w:val="0"/>
          <w:marTop w:val="600"/>
          <w:marBottom w:val="0"/>
          <w:divBdr>
            <w:top w:val="none" w:sz="0" w:space="0" w:color="auto"/>
            <w:left w:val="none" w:sz="0" w:space="0" w:color="auto"/>
            <w:bottom w:val="none" w:sz="0" w:space="0" w:color="auto"/>
            <w:right w:val="none" w:sz="0" w:space="0" w:color="auto"/>
          </w:divBdr>
          <w:divsChild>
            <w:div w:id="87138649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materiality/" TargetMode="External"/><Relationship Id="rId13" Type="http://schemas.openxmlformats.org/officeDocument/2006/relationships/hyperlink" Target="https://www.esma.europa.eu/press-news/esma-news?tid%5B0%5D=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xbrl.org/tag/reporting/" TargetMode="External"/><Relationship Id="rId12" Type="http://schemas.openxmlformats.org/officeDocument/2006/relationships/hyperlink" Target="https://www.esma.europa.eu/press-news/esma-news/esma-2025-work-programme-focus-key-strategic-priorities-and-implementation-new" TargetMode="External"/><Relationship Id="rId17" Type="http://schemas.openxmlformats.org/officeDocument/2006/relationships/hyperlink" Target="mailto:press@esma.europa.eu" TargetMode="External"/><Relationship Id="rId2" Type="http://schemas.openxmlformats.org/officeDocument/2006/relationships/settings" Target="settings.xml"/><Relationship Id="rId16" Type="http://schemas.openxmlformats.org/officeDocument/2006/relationships/hyperlink" Target="https://www.esma.europa.eu/sites/default/files/2024-05/ESMA24-450544452-2130_Position_paper_Building_more_effective_and_attractive_capital_markets_in_the_EU.pdf" TargetMode="External"/><Relationship Id="rId1" Type="http://schemas.openxmlformats.org/officeDocument/2006/relationships/styles" Target="styles.xml"/><Relationship Id="rId6" Type="http://schemas.openxmlformats.org/officeDocument/2006/relationships/hyperlink" Target="https://www.esma.europa.eu/" TargetMode="External"/><Relationship Id="rId11" Type="http://schemas.openxmlformats.org/officeDocument/2006/relationships/image" Target="media/image2.png"/><Relationship Id="rId5" Type="http://schemas.openxmlformats.org/officeDocument/2006/relationships/hyperlink" Target="https://www.xbrl.org/news/esma-sets-strict-2024-priorities-with-double-materiality-at-the-forefront/" TargetMode="External"/><Relationship Id="rId15" Type="http://schemas.openxmlformats.org/officeDocument/2006/relationships/hyperlink" Target="https://www.esma.europa.eu/sites/default/files/2024-10/ESMA22-50751485-1488_Annual_Work_Programme_2025.pdf" TargetMode="External"/><Relationship Id="rId10" Type="http://schemas.openxmlformats.org/officeDocument/2006/relationships/hyperlink" Target="https://www.xbrl.org/tag/esma/"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xbrl.org/tag/esg/" TargetMode="External"/><Relationship Id="rId14" Type="http://schemas.openxmlformats.org/officeDocument/2006/relationships/hyperlink" Target="https://www.esma.europa.eu/press-news/esma-news?tid%5B0%5D=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1184</Words>
  <Characters>6514</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2024-11-05T03:59:00Z</dcterms:created>
  <dcterms:modified xsi:type="dcterms:W3CDTF">2024-11-12T02:30:00Z</dcterms:modified>
</cp:coreProperties>
</file>