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8110" w14:textId="77777777" w:rsidR="00313CC2" w:rsidRPr="00674F86" w:rsidRDefault="00313CC2" w:rsidP="00313CC2">
      <w:pPr>
        <w:jc w:val="both"/>
        <w:rPr>
          <w:rFonts w:ascii="Abadi" w:hAnsi="Abadi"/>
          <w:sz w:val="28"/>
          <w:szCs w:val="28"/>
        </w:rPr>
      </w:pPr>
      <w:bookmarkStart w:id="0" w:name="_Hlk181387647"/>
      <w:r w:rsidRPr="00674F86">
        <w:rPr>
          <w:rFonts w:ascii="Abadi" w:hAnsi="Abadi"/>
          <w:sz w:val="28"/>
          <w:szCs w:val="28"/>
        </w:rPr>
        <w:t>La complejidad en el punto de mira del presidente del IASB</w:t>
      </w:r>
    </w:p>
    <w:bookmarkEnd w:id="0"/>
    <w:p w14:paraId="41A4033E" w14:textId="085E4364" w:rsidR="00313CC2" w:rsidRPr="00313CC2" w:rsidRDefault="00313CC2" w:rsidP="00313CC2">
      <w:pPr>
        <w:jc w:val="both"/>
      </w:pPr>
      <w:r w:rsidRPr="00313CC2">
        <w:rPr>
          <w:noProof/>
        </w:rPr>
        <w:drawing>
          <wp:inline distT="0" distB="0" distL="0" distR="0" wp14:anchorId="7CCF7AD0" wp14:editId="787A56BB">
            <wp:extent cx="5612130" cy="37414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04BE4EC2" w14:textId="34486F12" w:rsidR="00674F86" w:rsidRPr="00313CC2" w:rsidRDefault="00674F86" w:rsidP="00674F86">
      <w:pPr>
        <w:jc w:val="both"/>
      </w:pPr>
      <w:r w:rsidRPr="00313CC2">
        <w:t>Publicado el 7 de julio de 2024 por</w:t>
      </w:r>
      <w:r>
        <w:t xml:space="preserve"> </w:t>
      </w:r>
      <w:hyperlink r:id="rId5" w:history="1">
        <w:r w:rsidRPr="00313CC2">
          <w:rPr>
            <w:rStyle w:val="Hipervnculo"/>
            <w:b/>
            <w:bCs/>
          </w:rPr>
          <w:t>Editor</w:t>
        </w:r>
      </w:hyperlink>
    </w:p>
    <w:p w14:paraId="4C1D2C27" w14:textId="77777777" w:rsidR="00313CC2" w:rsidRPr="00313CC2" w:rsidRDefault="00313CC2" w:rsidP="00313CC2">
      <w:pPr>
        <w:jc w:val="both"/>
      </w:pPr>
      <w:r w:rsidRPr="00313CC2">
        <w:t>La semana pasada, Andreas Barckow, presidente del Consejo de Normas Internacionales de Contabilidad (IASB), pronunció un discurso inaugural en la Conferencia de la Fundación IFRS en el que destacó la creciente complejidad de los informes financieros y describió las formas en que el IASB la está abordando.</w:t>
      </w:r>
    </w:p>
    <w:p w14:paraId="1633AAB7" w14:textId="77777777" w:rsidR="00313CC2" w:rsidRPr="00313CC2" w:rsidRDefault="00313CC2" w:rsidP="00313CC2">
      <w:pPr>
        <w:jc w:val="both"/>
      </w:pPr>
      <w:r w:rsidRPr="00313CC2">
        <w:t>El mundo empresarial moderno es complejo e intrincado, y el panorama financiero se ve afectado por múltiples riesgos multifacéticos. Barckow reconoció los desafíos que esta complejidad plantea a las empresas, los inversores, los auditores y los organismos normativos, y destacó la necesidad de una comunicación y una toma de decisiones eficaces. También señaló que, si bien las normas del IASB intentan reflejar las realidades económicas, a veces pueden contribuir a esta complejidad.</w:t>
      </w:r>
    </w:p>
    <w:p w14:paraId="5728DA16" w14:textId="77777777" w:rsidR="00313CC2" w:rsidRPr="00313CC2" w:rsidRDefault="00313CC2" w:rsidP="00313CC2">
      <w:pPr>
        <w:jc w:val="both"/>
      </w:pPr>
      <w:r w:rsidRPr="00313CC2">
        <w:t>En respuesta, el IASB busca tomar medidas tangibles para gestionar la complejidad, entre ellas, priorizar proyectos, mejorar la colaboración entre equipos técnicos y realizar esfuerzos intensivos para mejorar la adopción de la taxonomía contable de las NIIF y la participación en la presentación de informes digitales. Barckow destacó iniciativas recientes como las NIIF 18 y 19, que apuntan a equilibrar la complejidad con beneficios prácticos, mejorando la comparabilidad y simplificando la contabilidad para las subsidiarias.</w:t>
      </w:r>
    </w:p>
    <w:p w14:paraId="55437341" w14:textId="77777777" w:rsidR="00313CC2" w:rsidRPr="00313CC2" w:rsidRDefault="00313CC2" w:rsidP="00313CC2">
      <w:pPr>
        <w:jc w:val="both"/>
      </w:pPr>
      <w:r w:rsidRPr="00313CC2">
        <w:t xml:space="preserve">Aunque hoy tenemos acceso a más datos que nunca, y la estandarización y la digitalización hacen que los datos empresariales modernos sean más fiables y comparables que antes, el mar de información puede contribuir a su manera a la complejidad. En las próximas décadas será necesario encontrar nuevas formas de gestionar los enormes volúmenes de datos (como la armonización </w:t>
      </w:r>
      <w:r w:rsidRPr="00313CC2">
        <w:lastRenderedPageBreak/>
        <w:t>entre distintas fuentes de datos) para ayudar a los reguladores, los inversores y las empresas a orientarse en un panorama financiero cada vez más complejo.</w:t>
      </w:r>
    </w:p>
    <w:p w14:paraId="17A968B8" w14:textId="07C8F51A" w:rsidR="00313CC2" w:rsidRPr="00313CC2" w:rsidRDefault="00313CC2" w:rsidP="00313CC2">
      <w:pPr>
        <w:jc w:val="both"/>
      </w:pPr>
      <w:r w:rsidRPr="00313CC2">
        <w:t>Para el discurso completo, ver</w:t>
      </w:r>
      <w:r w:rsidR="00674F86">
        <w:t xml:space="preserve"> </w:t>
      </w:r>
      <w:hyperlink r:id="rId6" w:tgtFrame="_blank" w:history="1">
        <w:r w:rsidRPr="00313CC2">
          <w:rPr>
            <w:rStyle w:val="Hipervnculo"/>
          </w:rPr>
          <w:t>aquí</w:t>
        </w:r>
      </w:hyperlink>
      <w:r w:rsidRPr="00313CC2">
        <w:t>.</w:t>
      </w:r>
    </w:p>
    <w:p w14:paraId="59232818" w14:textId="5C0DDFA0" w:rsidR="00313CC2" w:rsidRPr="00313CC2" w:rsidRDefault="00EC236B" w:rsidP="00313CC2">
      <w:pPr>
        <w:jc w:val="both"/>
      </w:pPr>
      <w:hyperlink r:id="rId7" w:history="1">
        <w:r w:rsidR="00313CC2" w:rsidRPr="00313CC2">
          <w:rPr>
            <w:rStyle w:val="Hipervnculo"/>
          </w:rPr>
          <w:t>DATOS</w:t>
        </w:r>
        <w:r w:rsidR="00674F86">
          <w:rPr>
            <w:rStyle w:val="Hipervnculo"/>
          </w:rPr>
          <w:t xml:space="preserve"> </w:t>
        </w:r>
      </w:hyperlink>
      <w:hyperlink r:id="rId8" w:history="1">
        <w:r w:rsidR="00313CC2" w:rsidRPr="00313CC2">
          <w:rPr>
            <w:rStyle w:val="Hipervnculo"/>
          </w:rPr>
          <w:t>de complejidad</w:t>
        </w:r>
        <w:r w:rsidR="00674F86">
          <w:rPr>
            <w:rStyle w:val="Hipervnculo"/>
          </w:rPr>
          <w:t xml:space="preserve"> </w:t>
        </w:r>
      </w:hyperlink>
      <w:hyperlink r:id="rId9" w:history="1">
        <w:r w:rsidR="00313CC2" w:rsidRPr="00313CC2">
          <w:rPr>
            <w:rStyle w:val="Hipervnculo"/>
          </w:rPr>
          <w:t>IASB</w:t>
        </w:r>
      </w:hyperlink>
    </w:p>
    <w:p w14:paraId="021C341C" w14:textId="1C77EDC0" w:rsidR="001E1F1E" w:rsidRDefault="001E1F1E" w:rsidP="00313CC2">
      <w:pPr>
        <w:jc w:val="both"/>
      </w:pPr>
    </w:p>
    <w:p w14:paraId="3FE8ABED" w14:textId="5C188062" w:rsidR="00313CC2" w:rsidRDefault="00313CC2" w:rsidP="00313CC2">
      <w:pPr>
        <w:jc w:val="both"/>
      </w:pPr>
    </w:p>
    <w:p w14:paraId="33020EE9" w14:textId="7102DC47" w:rsidR="00313CC2" w:rsidRDefault="00313CC2" w:rsidP="00313CC2">
      <w:pPr>
        <w:jc w:val="both"/>
      </w:pPr>
    </w:p>
    <w:p w14:paraId="15C9959E" w14:textId="717D91C2" w:rsidR="00313CC2" w:rsidRDefault="00313CC2" w:rsidP="00313CC2">
      <w:pPr>
        <w:jc w:val="both"/>
      </w:pPr>
    </w:p>
    <w:p w14:paraId="794DA4A0" w14:textId="32B196B8" w:rsidR="00313CC2" w:rsidRDefault="00313CC2" w:rsidP="00313CC2">
      <w:pPr>
        <w:jc w:val="both"/>
      </w:pPr>
    </w:p>
    <w:p w14:paraId="61EFEFC7" w14:textId="4CCE8474" w:rsidR="00313CC2" w:rsidRDefault="00313CC2" w:rsidP="00313CC2">
      <w:pPr>
        <w:jc w:val="both"/>
      </w:pPr>
    </w:p>
    <w:p w14:paraId="29BC23D8" w14:textId="31B7D6CF" w:rsidR="00313CC2" w:rsidRDefault="00313CC2" w:rsidP="00313CC2">
      <w:pPr>
        <w:jc w:val="both"/>
      </w:pPr>
    </w:p>
    <w:p w14:paraId="74B885A8" w14:textId="436F9A85" w:rsidR="00313CC2" w:rsidRDefault="00313CC2" w:rsidP="00313CC2">
      <w:pPr>
        <w:jc w:val="both"/>
      </w:pPr>
    </w:p>
    <w:p w14:paraId="2B87C360" w14:textId="125EF24D" w:rsidR="00674F86" w:rsidRDefault="00674F86" w:rsidP="00313CC2">
      <w:pPr>
        <w:jc w:val="both"/>
      </w:pPr>
    </w:p>
    <w:p w14:paraId="5F821ED4" w14:textId="1DE5A753" w:rsidR="00674F86" w:rsidRDefault="00674F86" w:rsidP="00313CC2">
      <w:pPr>
        <w:jc w:val="both"/>
      </w:pPr>
    </w:p>
    <w:p w14:paraId="0E50DBBE" w14:textId="4F0AD187" w:rsidR="00674F86" w:rsidRDefault="00674F86" w:rsidP="00313CC2">
      <w:pPr>
        <w:jc w:val="both"/>
      </w:pPr>
    </w:p>
    <w:p w14:paraId="6D150926" w14:textId="5B0CE03A" w:rsidR="00674F86" w:rsidRDefault="00674F86" w:rsidP="00313CC2">
      <w:pPr>
        <w:jc w:val="both"/>
      </w:pPr>
    </w:p>
    <w:p w14:paraId="180300CB" w14:textId="4642188E" w:rsidR="00674F86" w:rsidRDefault="00674F86" w:rsidP="00313CC2">
      <w:pPr>
        <w:jc w:val="both"/>
      </w:pPr>
    </w:p>
    <w:p w14:paraId="70B4CAE3" w14:textId="62D8555B" w:rsidR="00674F86" w:rsidRDefault="00674F86" w:rsidP="00313CC2">
      <w:pPr>
        <w:jc w:val="both"/>
      </w:pPr>
    </w:p>
    <w:p w14:paraId="204F7DAB" w14:textId="2494DB65" w:rsidR="00674F86" w:rsidRDefault="00674F86" w:rsidP="00313CC2">
      <w:pPr>
        <w:jc w:val="both"/>
      </w:pPr>
    </w:p>
    <w:p w14:paraId="7DB17619" w14:textId="1C0C9711" w:rsidR="00674F86" w:rsidRDefault="00674F86" w:rsidP="00313CC2">
      <w:pPr>
        <w:jc w:val="both"/>
      </w:pPr>
    </w:p>
    <w:p w14:paraId="2A0C35ED" w14:textId="317D9B44" w:rsidR="00674F86" w:rsidRDefault="00674F86" w:rsidP="00313CC2">
      <w:pPr>
        <w:jc w:val="both"/>
      </w:pPr>
    </w:p>
    <w:p w14:paraId="3ABA5532" w14:textId="196342AC" w:rsidR="00674F86" w:rsidRDefault="00674F86" w:rsidP="00313CC2">
      <w:pPr>
        <w:jc w:val="both"/>
      </w:pPr>
    </w:p>
    <w:p w14:paraId="10017C5B" w14:textId="240C678E" w:rsidR="00674F86" w:rsidRDefault="00674F86" w:rsidP="00313CC2">
      <w:pPr>
        <w:jc w:val="both"/>
      </w:pPr>
    </w:p>
    <w:p w14:paraId="0AED8AC8" w14:textId="55F1C61D" w:rsidR="00674F86" w:rsidRDefault="00674F86" w:rsidP="00313CC2">
      <w:pPr>
        <w:jc w:val="both"/>
      </w:pPr>
    </w:p>
    <w:p w14:paraId="374A2DDD" w14:textId="33CE3D45" w:rsidR="00674F86" w:rsidRDefault="00674F86" w:rsidP="00313CC2">
      <w:pPr>
        <w:jc w:val="both"/>
      </w:pPr>
    </w:p>
    <w:p w14:paraId="0A114C92" w14:textId="54B341F9" w:rsidR="00674F86" w:rsidRDefault="00674F86" w:rsidP="00313CC2">
      <w:pPr>
        <w:jc w:val="both"/>
      </w:pPr>
    </w:p>
    <w:p w14:paraId="7BF6CB7D" w14:textId="0287CBC5" w:rsidR="00674F86" w:rsidRDefault="00674F86" w:rsidP="00313CC2">
      <w:pPr>
        <w:jc w:val="both"/>
      </w:pPr>
    </w:p>
    <w:p w14:paraId="2EA0FAD1" w14:textId="73A5BBB0" w:rsidR="00EC236B" w:rsidRDefault="00EC236B" w:rsidP="00313CC2">
      <w:pPr>
        <w:jc w:val="both"/>
      </w:pPr>
    </w:p>
    <w:p w14:paraId="381E39A3" w14:textId="77777777" w:rsidR="00EC236B" w:rsidRDefault="00EC236B" w:rsidP="00313CC2">
      <w:pPr>
        <w:jc w:val="both"/>
      </w:pPr>
    </w:p>
    <w:p w14:paraId="3D5D2DFD" w14:textId="3E65A94F" w:rsidR="00313CC2" w:rsidRDefault="00313CC2" w:rsidP="00313CC2">
      <w:pPr>
        <w:spacing w:after="0"/>
        <w:jc w:val="both"/>
      </w:pPr>
      <w:r w:rsidRPr="00313CC2">
        <w:rPr>
          <w:noProof/>
        </w:rPr>
        <w:lastRenderedPageBreak/>
        <w:drawing>
          <wp:inline distT="0" distB="0" distL="0" distR="0" wp14:anchorId="5D1D0B46" wp14:editId="32EA28D0">
            <wp:extent cx="5612130" cy="1825625"/>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825625"/>
                    </a:xfrm>
                    <a:prstGeom prst="rect">
                      <a:avLst/>
                    </a:prstGeom>
                  </pic:spPr>
                </pic:pic>
              </a:graphicData>
            </a:graphic>
          </wp:inline>
        </w:drawing>
      </w:r>
    </w:p>
    <w:p w14:paraId="45E6E005" w14:textId="77777777" w:rsidR="00313CC2" w:rsidRPr="00313CC2" w:rsidRDefault="00313CC2" w:rsidP="00313CC2">
      <w:pPr>
        <w:jc w:val="both"/>
      </w:pPr>
      <w:r w:rsidRPr="00313CC2">
        <w:rPr>
          <w:i/>
          <w:iCs/>
        </w:rPr>
        <w:t>Andreas Barckow, presidente del Consejo de Normas Internacionales de Contabilidad (IASB), pronunció un discurso de apertura en la Conferencia de la Fundación IFRS el 24 de junio de 2024.</w:t>
      </w:r>
    </w:p>
    <w:p w14:paraId="452D09D7" w14:textId="77777777" w:rsidR="00313CC2" w:rsidRPr="00313CC2" w:rsidRDefault="00EC236B" w:rsidP="00313CC2">
      <w:pPr>
        <w:jc w:val="both"/>
      </w:pPr>
      <w:r>
        <w:pict w14:anchorId="36AA7F6A">
          <v:rect id="_x0000_i1025" style="width:0;height:0" o:hralign="center" o:hrstd="t" o:hr="t" fillcolor="#a0a0a0" stroked="f"/>
        </w:pict>
      </w:r>
    </w:p>
    <w:p w14:paraId="6BDF57C4" w14:textId="77777777" w:rsidR="00313CC2" w:rsidRPr="00313CC2" w:rsidRDefault="00313CC2" w:rsidP="00313CC2">
      <w:pPr>
        <w:jc w:val="both"/>
        <w:rPr>
          <w:b/>
          <w:bCs/>
        </w:rPr>
      </w:pPr>
      <w:r w:rsidRPr="00313CC2">
        <w:rPr>
          <w:b/>
          <w:bCs/>
        </w:rPr>
        <w:t>Introducción</w:t>
      </w:r>
    </w:p>
    <w:p w14:paraId="7236F229" w14:textId="1A0DCB2F" w:rsidR="00313CC2" w:rsidRPr="00313CC2" w:rsidRDefault="00313CC2" w:rsidP="00313CC2">
      <w:pPr>
        <w:jc w:val="both"/>
      </w:pPr>
      <w:r w:rsidRPr="00313CC2">
        <w:t>Les damos una cálida bienvenida a todos. Es un gran placer ver a tantos de ustedes uniéndose a nosotros en la</w:t>
      </w:r>
      <w:r w:rsidR="00674F86">
        <w:t xml:space="preserve"> </w:t>
      </w:r>
      <w:hyperlink r:id="rId11" w:history="1">
        <w:r w:rsidRPr="00313CC2">
          <w:rPr>
            <w:rStyle w:val="Hipervnculo"/>
          </w:rPr>
          <w:t>conferencia de este año</w:t>
        </w:r>
      </w:hyperlink>
      <w:r w:rsidRPr="00313CC2">
        <w:t>, ya sea que estén aquí en persona o participando virtualmente desde cualquier parte del mundo.</w:t>
      </w:r>
    </w:p>
    <w:p w14:paraId="40F507C1" w14:textId="77777777" w:rsidR="00313CC2" w:rsidRPr="00313CC2" w:rsidRDefault="00313CC2" w:rsidP="00313CC2">
      <w:pPr>
        <w:jc w:val="both"/>
      </w:pPr>
      <w:r w:rsidRPr="00313CC2">
        <w:t>Quiero tomarme un momento para reconocer el papel que su compromiso y su experiencia desempeñan en la mejora de los informes financieros. Cada uno de nosotros aquí es miembro del ecosistema de informes financieros. Valoramos y respetamos sus esfuerzos por lograr nuestra misión compartida de brindar transparencia, responsabilidad y eficiencia a los mercados financieros de todo el mundo. Gracias por su participación. Y gracias de antemano por los conocimientos que aportarán a todos los debates que se llevarán a cabo hoy y mañana.</w:t>
      </w:r>
    </w:p>
    <w:p w14:paraId="13375081" w14:textId="77777777" w:rsidR="00313CC2" w:rsidRPr="00313CC2" w:rsidRDefault="00313CC2" w:rsidP="00313CC2">
      <w:pPr>
        <w:jc w:val="both"/>
        <w:rPr>
          <w:b/>
          <w:bCs/>
        </w:rPr>
      </w:pPr>
      <w:r w:rsidRPr="00313CC2">
        <w:rPr>
          <w:b/>
          <w:bCs/>
        </w:rPr>
        <w:t>De la incertidumbre a la complejidad</w:t>
      </w:r>
    </w:p>
    <w:p w14:paraId="4C183317" w14:textId="5D21F60E" w:rsidR="00313CC2" w:rsidRPr="00313CC2" w:rsidRDefault="00313CC2" w:rsidP="00313CC2">
      <w:pPr>
        <w:jc w:val="both"/>
      </w:pPr>
      <w:r w:rsidRPr="00313CC2">
        <w:t>En</w:t>
      </w:r>
      <w:r w:rsidR="00674F86">
        <w:t xml:space="preserve"> </w:t>
      </w:r>
      <w:hyperlink r:id="rId12" w:history="1">
        <w:r w:rsidRPr="00313CC2">
          <w:rPr>
            <w:rStyle w:val="Hipervnculo"/>
          </w:rPr>
          <w:t>la conferencia del año pasado</w:t>
        </w:r>
      </w:hyperlink>
      <w:r w:rsidRPr="00313CC2">
        <w:t>, les hablé sobre el papel de la información financiera en tiempos de incertidumbre. En la conferencia de este año, quiero explorar un tema relacionado pero distinto que enfrentamos en nuestro servicio al interés público: la complejidad.</w:t>
      </w:r>
    </w:p>
    <w:p w14:paraId="576CC51B" w14:textId="77777777" w:rsidR="00313CC2" w:rsidRPr="00313CC2" w:rsidRDefault="00313CC2" w:rsidP="00313CC2">
      <w:pPr>
        <w:jc w:val="both"/>
      </w:pPr>
      <w:r w:rsidRPr="00313CC2">
        <w:t>La complejidad y la incertidumbre pueden no ser gemelas, pero sin duda son parientes. A menudo coexisten y se influyen mutuamente, pero también presentan obstáculos distintos para el entorno de los informes financieros.</w:t>
      </w:r>
    </w:p>
    <w:p w14:paraId="02D28F27" w14:textId="77777777" w:rsidR="00313CC2" w:rsidRPr="00313CC2" w:rsidRDefault="00313CC2" w:rsidP="00313CC2">
      <w:pPr>
        <w:jc w:val="both"/>
      </w:pPr>
      <w:r w:rsidRPr="00313CC2">
        <w:t>La complejidad no es un fenómeno nuevo en la historia de la humanidad, pero la complejidad moderna está muy arraigada en el mundo económico actual. En el centro de la cuestión está la creciente complejidad de las transacciones comerciales. La complejidad en constante evolución del entorno empresarial ha dado lugar a transacciones comerciales cada vez más complejas, que en última instancia acaban reflejándose en los informes financieros.</w:t>
      </w:r>
    </w:p>
    <w:p w14:paraId="62CA85AF" w14:textId="77777777" w:rsidR="00313CC2" w:rsidRPr="00313CC2" w:rsidRDefault="00313CC2" w:rsidP="00313CC2">
      <w:pPr>
        <w:jc w:val="both"/>
      </w:pPr>
      <w:r w:rsidRPr="00313CC2">
        <w:t xml:space="preserve">Pero no son sólo las transacciones las que se vuelven más complejas. El mundo empresarial cuenta con abundantes pruebas de que las empresas tienen que operar con mayor complejidad en sus cadenas de suministro, por ejemplo. También nos enfrentamos a una multitud de otros factores de riesgo que, cuando se combinan con el rápido ritmo de cambio, introducen una capa adicional de </w:t>
      </w:r>
      <w:r w:rsidRPr="00313CC2">
        <w:lastRenderedPageBreak/>
        <w:t>complejidad. Todos estos factores moldean y remodelan continuamente nuestro entorno empresarial, obligándonos a todos a adaptarnos a nuevas realidades.</w:t>
      </w:r>
    </w:p>
    <w:p w14:paraId="0E778576" w14:textId="77777777" w:rsidR="00313CC2" w:rsidRPr="00313CC2" w:rsidRDefault="00313CC2" w:rsidP="00313CC2">
      <w:pPr>
        <w:jc w:val="both"/>
      </w:pPr>
      <w:r w:rsidRPr="00313CC2">
        <w:t>El efecto de la complejidad se siente en todo el panorama de la información financiera, tanto para las empresas como para los inversores, los auditores y los organismos de normalización. Los niveles de complejidad pueden ser un obstáculo para la toma de decisiones eficaz. Tienen el potencial de dificultar que las empresas comuniquen eficazmente su historia a los inversores y que estos comprendan y utilicen adecuadamente la información financiera. La complejidad también plantea desafíos para los auditores a la hora de ejercer su juicio profesional al auditar los estados financieros y proporcionar seguridad a los informes financieros en general.</w:t>
      </w:r>
    </w:p>
    <w:p w14:paraId="1A47C627" w14:textId="77777777" w:rsidR="00313CC2" w:rsidRPr="00313CC2" w:rsidRDefault="00313CC2" w:rsidP="00313CC2">
      <w:pPr>
        <w:jc w:val="both"/>
      </w:pPr>
      <w:r w:rsidRPr="00313CC2">
        <w:t>Las instituciones más grandes pueden tener los recursos para navegar por la complejidad, pero los actores más pequeños pueden tener dificultades para seguir el ritmo, en particular cuando deben lidiar con varias capas de complejidad al mismo tiempo.</w:t>
      </w:r>
    </w:p>
    <w:p w14:paraId="4E89882E" w14:textId="77777777" w:rsidR="00313CC2" w:rsidRPr="00313CC2" w:rsidRDefault="00313CC2" w:rsidP="00313CC2">
      <w:pPr>
        <w:jc w:val="both"/>
      </w:pPr>
      <w:r w:rsidRPr="00313CC2">
        <w:t>Ahora bien, algunos podrían argumentar que nosotros en el IASB también somos una fuente de complejidad, tanto desde la perspectiva de quienes aplican las Normas de Contabilidad IFRS para preparar información financiera como de quienes utilizan los resultados de información financiera producidos por las Normas. Que, en nuestros esfuerzos por representar fielmente las realidades económicas de hoy y de mañana, nuestras Normas de Contabilidad se han vuelto más elaboradas. Y hay algo de verdad en este argumento.</w:t>
      </w:r>
    </w:p>
    <w:p w14:paraId="0D3A2787" w14:textId="77777777" w:rsidR="00313CC2" w:rsidRPr="00313CC2" w:rsidRDefault="00313CC2" w:rsidP="00313CC2">
      <w:pPr>
        <w:jc w:val="both"/>
      </w:pPr>
      <w:r w:rsidRPr="00313CC2">
        <w:t>Sin embargo, es importante reconocer que analizar transacciones complejas no significa aislar una sola cuestión y tratarla como un problema individual que debe resolverse. En cambio, debemos reconocer la complejidad inherente del panorama económico.</w:t>
      </w:r>
    </w:p>
    <w:p w14:paraId="0B0B1F38" w14:textId="77777777" w:rsidR="00313CC2" w:rsidRPr="00313CC2" w:rsidRDefault="00313CC2" w:rsidP="00313CC2">
      <w:pPr>
        <w:jc w:val="both"/>
      </w:pPr>
      <w:r w:rsidRPr="00313CC2">
        <w:t>En nuestro afán de ser útiles, a menudo ofrecemos orientación y claridad adicionales. Sin embargo, cada línea que escribimos para complementar nuestros principios y requisitos básicos corre el riesgo de crear complejidad inadvertidamente. En este sentido, el IASB está en el mismo barco que usted, navegando por las agitadas aguas de la complejidad, esforzándose por trazar un rumbo que equilibre la necesidad de una mejor información con el deseo de simplicidad y comprensión.</w:t>
      </w:r>
    </w:p>
    <w:p w14:paraId="44B94B29" w14:textId="77777777" w:rsidR="00313CC2" w:rsidRPr="00313CC2" w:rsidRDefault="00313CC2" w:rsidP="00313CC2">
      <w:pPr>
        <w:jc w:val="both"/>
        <w:rPr>
          <w:b/>
          <w:bCs/>
        </w:rPr>
      </w:pPr>
      <w:r w:rsidRPr="00313CC2">
        <w:rPr>
          <w:b/>
          <w:bCs/>
        </w:rPr>
        <w:t>Nuestro enfoque</w:t>
      </w:r>
    </w:p>
    <w:p w14:paraId="138536FE" w14:textId="77777777" w:rsidR="00313CC2" w:rsidRPr="00313CC2" w:rsidRDefault="00313CC2" w:rsidP="00313CC2">
      <w:pPr>
        <w:jc w:val="both"/>
      </w:pPr>
      <w:r w:rsidRPr="00313CC2">
        <w:t>Entonces, ¿cómo estamos abordando este desafío desde el IASB?</w:t>
      </w:r>
    </w:p>
    <w:p w14:paraId="789B729B" w14:textId="77777777" w:rsidR="00313CC2" w:rsidRPr="00313CC2" w:rsidRDefault="00313CC2" w:rsidP="00313CC2">
      <w:pPr>
        <w:jc w:val="both"/>
      </w:pPr>
      <w:r w:rsidRPr="00313CC2">
        <w:t>Necesitamos encontrar un equilibrio entre reaccionar exageradamente y no reaccionar lo suficiente ante la complejidad. Aunque la complejidad puede ser abrumadora, creo que también podemos usarla como una oportunidad para desarrollar soluciones efectivas e impulsar cambios positivos. El hecho es que, aunque nos enfrentamos a complejidades, los inversores siguen comprometidos con la asignación de capital a empresas y economías que ofrecen potencial de crecimiento. Los flujos de capital globales siguen siendo notablemente resilientes, incluso en medio de la complejidad.</w:t>
      </w:r>
    </w:p>
    <w:p w14:paraId="7E889752" w14:textId="77777777" w:rsidR="00313CC2" w:rsidRPr="00313CC2" w:rsidRDefault="00313CC2" w:rsidP="00313CC2">
      <w:pPr>
        <w:jc w:val="both"/>
      </w:pPr>
      <w:r w:rsidRPr="00313CC2">
        <w:t>Como organización internacional que presta servicios a una audiencia global en casi 150 jurisdicciones, reconocemos que aceptar la complejidad es parte integral de nuestra realidad. Nuestras partes interesadas tienen necesidades diversas y distintos niveles de familiaridad con nuestro trabajo. Un aspecto central de nuestro enfoque es la necesidad de equilibrar sus diversos requisitos sopesando cuidadosamente los costos y beneficios de nuestras acciones.</w:t>
      </w:r>
    </w:p>
    <w:p w14:paraId="59221E19" w14:textId="0DB1434C" w:rsidR="00313CC2" w:rsidRPr="00313CC2" w:rsidRDefault="00313CC2" w:rsidP="00313CC2">
      <w:pPr>
        <w:jc w:val="both"/>
      </w:pPr>
      <w:r w:rsidRPr="00313CC2">
        <w:lastRenderedPageBreak/>
        <w:t>En línea con este compromiso, recientemente publicamos dos nuevas Normas de Contabilidad, la NIIF 18</w:t>
      </w:r>
      <w:r w:rsidR="00674F86">
        <w:t xml:space="preserve"> </w:t>
      </w:r>
      <w:r w:rsidRPr="00313CC2">
        <w:rPr>
          <w:i/>
          <w:iCs/>
        </w:rPr>
        <w:t>Presentación y Revelación en los Estados Financieros</w:t>
      </w:r>
      <w:r w:rsidRPr="00313CC2">
        <w:t> y la NIIF 19 </w:t>
      </w:r>
      <w:r w:rsidRPr="00313CC2">
        <w:rPr>
          <w:i/>
          <w:iCs/>
        </w:rPr>
        <w:t>Subsidiarias sin Responsabilidad Pública: Revelaciones</w:t>
      </w:r>
      <w:r w:rsidRPr="00313CC2">
        <w:t>. La NIIF 18 es un ejemplo real que mejora la comparabilidad de los estados financieros. La NIIF 19 es una iniciativa del IASB que simplifica la contabilidad para las subsidiarias elegibles, ahorrando así tiempo y reduciendo costos para las empresas.</w:t>
      </w:r>
    </w:p>
    <w:p w14:paraId="0CE981EC" w14:textId="77777777" w:rsidR="00313CC2" w:rsidRPr="00313CC2" w:rsidRDefault="00313CC2" w:rsidP="00313CC2">
      <w:pPr>
        <w:jc w:val="both"/>
        <w:rPr>
          <w:b/>
          <w:bCs/>
        </w:rPr>
      </w:pPr>
      <w:r w:rsidRPr="00313CC2">
        <w:rPr>
          <w:b/>
          <w:bCs/>
        </w:rPr>
        <w:t>Pasos tangibles</w:t>
      </w:r>
    </w:p>
    <w:p w14:paraId="7529F03B" w14:textId="77777777" w:rsidR="00313CC2" w:rsidRPr="00313CC2" w:rsidRDefault="00313CC2" w:rsidP="00313CC2">
      <w:pPr>
        <w:jc w:val="both"/>
      </w:pPr>
      <w:r w:rsidRPr="00313CC2">
        <w:t>Permítanme destacar seis áreas adicionales en las que estamos tomando medidas tangibles para gestionar la complejidad.</w:t>
      </w:r>
    </w:p>
    <w:p w14:paraId="64F1FBCC" w14:textId="77777777" w:rsidR="00313CC2" w:rsidRPr="00313CC2" w:rsidRDefault="00313CC2" w:rsidP="00313CC2">
      <w:pPr>
        <w:jc w:val="both"/>
      </w:pPr>
      <w:r w:rsidRPr="00313CC2">
        <w:t>En primer lugar, nos esforzamos por dominar la complejidad de nuestro propio trabajo. Como ya he dicho, es inevitable que las normas contables presenten cierta complejidad si queremos seguir siendo pertinentes y reflejar el mundo real.</w:t>
      </w:r>
    </w:p>
    <w:p w14:paraId="32559E65" w14:textId="77777777" w:rsidR="00313CC2" w:rsidRPr="00313CC2" w:rsidRDefault="00313CC2" w:rsidP="00313CC2">
      <w:pPr>
        <w:jc w:val="both"/>
      </w:pPr>
      <w:r w:rsidRPr="00313CC2">
        <w:t>Sin embargo, también creo que en el IASB debemos considerar cuidadosamente dónde y cómo podemos hacer más para reducir la complejidad y mejorar la accesibilidad de nuestras Normas. Necesitamos ser cada vez más sensatos a la hora de concentrar nuestros esfuerzos y recursos. Con este fin, estamos fomentando una mayor colaboración y coherencia entre nuestros equipos de proyectos técnicos para evitar redundancias y contradicciones en nuestras Normas de Contabilidad.</w:t>
      </w:r>
    </w:p>
    <w:p w14:paraId="19AA6801" w14:textId="77777777" w:rsidR="00313CC2" w:rsidRPr="00313CC2" w:rsidRDefault="00313CC2" w:rsidP="00313CC2">
      <w:pPr>
        <w:jc w:val="both"/>
      </w:pPr>
      <w:r w:rsidRPr="00313CC2">
        <w:t>En segundo lugar, estamos priorizando. Nuestro proceso de consulta de agenda, en el que usted participa, nos da una dirección clara en la que centrar nuestros esfuerzos para beneficiar a todas nuestras partes interesadas. Esto ayuda a mantener nuestra literatura relevante y adaptada a sus necesidades.</w:t>
      </w:r>
    </w:p>
    <w:p w14:paraId="3964A3A3" w14:textId="250C0CB5" w:rsidR="00313CC2" w:rsidRPr="00313CC2" w:rsidRDefault="00313CC2" w:rsidP="00313CC2">
      <w:pPr>
        <w:jc w:val="both"/>
      </w:pPr>
      <w:r w:rsidRPr="00313CC2">
        <w:t xml:space="preserve">Sin embargo, es importante señalar que la priorización es un proceso continuo, que no se limita a las consultas sobre la agenda. Tomamos decisiones sobre priorización y </w:t>
      </w:r>
      <w:r w:rsidR="00674F86" w:rsidRPr="00313CC2">
        <w:t>des priorización</w:t>
      </w:r>
      <w:r w:rsidRPr="00313CC2">
        <w:t xml:space="preserve"> a lo largo del ciclo de cinco años. En todas estas decisiones, nos esforzamos por equilibrar la urgencia con el costo para el sistema, teniendo en cuenta la complejidad. Este enfoque significa que seguimos respondiendo a las necesidades emergentes y al mismo tiempo gestionamos los recursos de manera eficaz.</w:t>
      </w:r>
    </w:p>
    <w:p w14:paraId="64E683AC" w14:textId="77777777" w:rsidR="00313CC2" w:rsidRPr="00313CC2" w:rsidRDefault="00313CC2" w:rsidP="00313CC2">
      <w:pPr>
        <w:jc w:val="both"/>
      </w:pPr>
      <w:r w:rsidRPr="00313CC2">
        <w:t>En tercer lugar, nos centramos en cómo podemos ayudarle a abordar la complejidad. Nuestro objetivo, que de hecho forma parte del ADN de la Fundación IFRS, es ayudar a las partes interesadas a tomar decisiones mejor informadas proporcionándoles las herramientas necesarias para superar la complejidad. Ya sea mediante normas más claras, una guía de aplicación más coherente o comunicaciones más accesibles, todo lo que hacemos está dirigido a este objetivo fundamental. Nos comprometemos a poner nuestros materiales educativos a disposición de nuestras partes interesadas globales en varios idiomas y formatos para aumentar su comprensión.</w:t>
      </w:r>
    </w:p>
    <w:p w14:paraId="7A56470E" w14:textId="77777777" w:rsidR="00313CC2" w:rsidRPr="00313CC2" w:rsidRDefault="00313CC2" w:rsidP="00313CC2">
      <w:pPr>
        <w:jc w:val="both"/>
      </w:pPr>
      <w:r w:rsidRPr="00313CC2">
        <w:t>En cuarto lugar, sabemos que la forma en que las partes interesadas acceden a la información y la utilizan ha evolucionado significativamente. Las empresas, los inversores y los reguladores buscan formas eficientes de buscar, extraer y comparar información financiera entre empresas y jurisdicciones. Para abordar esta necesidad, hace tiempo que contamos con la Taxonomía Contable de las NIIF para facilitar la presentación de información en un formato legible por computadora.</w:t>
      </w:r>
    </w:p>
    <w:p w14:paraId="5AF0E1AA" w14:textId="77777777" w:rsidR="00313CC2" w:rsidRPr="00313CC2" w:rsidRDefault="00313CC2" w:rsidP="00313CC2">
      <w:pPr>
        <w:jc w:val="both"/>
      </w:pPr>
      <w:r w:rsidRPr="00313CC2">
        <w:lastRenderedPageBreak/>
        <w:t>Recientemente, hemos aumentado significativamente nuestros esfuerzos para explicar la Taxonomía Contable de las NIIF y sus beneficios a un público más amplio. Hemos estado trabajando activamente para atraer a más partes al ecosistema de la taxonomía. Este trabajo ha implicado una estrecha colaboración con los reguladores para fomentar una adopción y un uso más amplios de la Taxonomía Contable de las NIIF. Nuestros esfuerzos están dando resultados positivos, como lo demuestra el reciente reconocimiento de la IOSCO.</w:t>
      </w:r>
    </w:p>
    <w:p w14:paraId="660E2114" w14:textId="77777777" w:rsidR="00313CC2" w:rsidRPr="00313CC2" w:rsidRDefault="00313CC2" w:rsidP="00313CC2">
      <w:pPr>
        <w:jc w:val="both"/>
      </w:pPr>
      <w:r w:rsidRPr="00313CC2">
        <w:t>El quinto ámbito en el que nos esforzamos por abordar la complejidad es nuestro trabajo con el ISSB. El IASB está trabajando en estrecha colaboración con el ISSB para abordar la creciente demanda de conectividad. Se ha producido un cambio de perspectiva sobre el papel de los estados financieros dentro del sistema de información corporativa más amplio. Aunque tradicionalmente se ha considerado que los estados financieros eran el foco central de la información corporativa, el auge de la información de sostenibilidad y la formación del ISSB han creado nuevas expectativas para la información que conecta la información financiera y relacionada con la sostenibilidad para satisfacer las necesidades de los inversores.</w:t>
      </w:r>
    </w:p>
    <w:p w14:paraId="4717F2CD" w14:textId="77777777" w:rsidR="00313CC2" w:rsidRPr="00313CC2" w:rsidRDefault="00313CC2" w:rsidP="00313CC2">
      <w:pPr>
        <w:jc w:val="both"/>
      </w:pPr>
      <w:r w:rsidRPr="00313CC2">
        <w:t>Este esfuerzo colaborativo tiene como objetivo promover un enfoque de la presentación de informes corporativos que conecte de forma fluida ambos lados de la "moneda de la presentación de informes". Más tarde hoy, las vicepresidentas de ambas juntas, Linda Mezon-Hutter y Sue Lloyd, ilustrarán cómo se está logrando esta conectividad y analizarán las consecuencias prácticas de esta conectividad para usted.</w:t>
      </w:r>
    </w:p>
    <w:p w14:paraId="7CCA89F2" w14:textId="77777777" w:rsidR="00313CC2" w:rsidRPr="00313CC2" w:rsidRDefault="00313CC2" w:rsidP="00313CC2">
      <w:pPr>
        <w:jc w:val="both"/>
      </w:pPr>
      <w:r w:rsidRPr="00313CC2">
        <w:t>En sexto lugar, nuestro compromiso con la imparcialidad implica que examinamos cuidadosamente las pruebas y las seguimos hasta donde nos llevan. Este enfoque garantiza que nuestras decisiones sean lo más objetivas y fundamentadas posible.</w:t>
      </w:r>
    </w:p>
    <w:p w14:paraId="011B0334" w14:textId="77777777" w:rsidR="00313CC2" w:rsidRPr="00313CC2" w:rsidRDefault="00313CC2" w:rsidP="00313CC2">
      <w:pPr>
        <w:jc w:val="both"/>
      </w:pPr>
      <w:r w:rsidRPr="00313CC2">
        <w:t>Un ejemplo de ello es la reciente gestión que hemos hecho del proyecto de mecanismos de fijación de precios de los contaminantes. Durante nuestra tercera consulta de la agenda, este proyecto recibió la atención de los encuestados, pero no recibió una calificación tan alta como los proyectos sobre activos intangibles o el estado de flujos de efectivo. En consecuencia, lo colocamos en nuestra lista de reserva, que se iniciará únicamente si hay recursos disponibles antes de la próxima consulta de la agenda.</w:t>
      </w:r>
    </w:p>
    <w:p w14:paraId="04567FCA" w14:textId="77777777" w:rsidR="00313CC2" w:rsidRPr="00313CC2" w:rsidRDefault="00313CC2" w:rsidP="00313CC2">
      <w:pPr>
        <w:jc w:val="both"/>
      </w:pPr>
      <w:r w:rsidRPr="00313CC2">
        <w:t>Desde que se tomó esa decisión, hemos recibido llamados de las partes interesadas para que prioricemos este proyecto. Sin embargo, fieles a nuestros principios, estamos llevando a cabo una evaluación basada en evidencia para determinar objetivamente si la situación realmente ha cambiado lo suficiente como para justificar una nueva priorización.</w:t>
      </w:r>
    </w:p>
    <w:p w14:paraId="05712E12" w14:textId="77777777" w:rsidR="00313CC2" w:rsidRPr="00313CC2" w:rsidRDefault="00313CC2" w:rsidP="00313CC2">
      <w:pPr>
        <w:jc w:val="both"/>
      </w:pPr>
      <w:r w:rsidRPr="00313CC2">
        <w:t>Este enfoque metódico refleja nuestro profesionalismo e integridad intelectual. Mediante un análisis cuidadoso y una toma de decisiones basada en evidencia, todo ello llevado a cabo de manera transparente en reuniones públicas, sorteamos la complejidad y ofrecemos estándares de alta calidad que sirven a los mercados de capitales.</w:t>
      </w:r>
    </w:p>
    <w:p w14:paraId="620124AA" w14:textId="77777777" w:rsidR="00313CC2" w:rsidRPr="00313CC2" w:rsidRDefault="00313CC2" w:rsidP="00313CC2">
      <w:pPr>
        <w:jc w:val="both"/>
        <w:rPr>
          <w:b/>
          <w:bCs/>
        </w:rPr>
      </w:pPr>
      <w:r w:rsidRPr="00313CC2">
        <w:rPr>
          <w:b/>
          <w:bCs/>
        </w:rPr>
        <w:t>Trabajando juntos</w:t>
      </w:r>
    </w:p>
    <w:p w14:paraId="60E86A32" w14:textId="77777777" w:rsidR="00313CC2" w:rsidRPr="00313CC2" w:rsidRDefault="00313CC2" w:rsidP="00313CC2">
      <w:pPr>
        <w:jc w:val="both"/>
      </w:pPr>
      <w:r w:rsidRPr="00313CC2">
        <w:t xml:space="preserve">En conclusión, todos podemos contribuir a la gestión de la complejidad. En el IASB, nos hemos comprometido a hacer nuestra parte: desarrollar normas internacionales de información financiera que conduzcan a una mejor toma de decisiones. Pero no podemos ni debemos hacerlo solos. </w:t>
      </w:r>
      <w:r w:rsidRPr="00313CC2">
        <w:lastRenderedPageBreak/>
        <w:t>Gestionar la complejidad para una mejor toma de decisiones requiere un esfuerzo colaborativo. Requiere que todos trabajemos juntos.</w:t>
      </w:r>
    </w:p>
    <w:p w14:paraId="4F3EDFC6" w14:textId="77777777" w:rsidR="00313CC2" w:rsidRPr="00313CC2" w:rsidRDefault="00313CC2" w:rsidP="00313CC2">
      <w:pPr>
        <w:jc w:val="both"/>
      </w:pPr>
      <w:r w:rsidRPr="00313CC2">
        <w:t>Los insto a que sigan participando en nuestro trabajo y en nuestra labor. Sigan compartiendo sus perspectivas y los desafíos que enfrentan. Cuando iniciemos las consultas, respóndanlas con toda su experiencia. A medida que avanzamos, quiero que el IASB siga siendo ágil y receptivo y que trabaje con ustedes para, en última instancia, servir al interés público.</w:t>
      </w:r>
    </w:p>
    <w:p w14:paraId="3A1B8014" w14:textId="77777777" w:rsidR="00313CC2" w:rsidRPr="00313CC2" w:rsidRDefault="00313CC2" w:rsidP="00313CC2">
      <w:pPr>
        <w:jc w:val="both"/>
      </w:pPr>
      <w:r w:rsidRPr="00313CC2">
        <w:t>Pero no sólo pedimos feedback. Queremos un diálogo verdadero. Póngase en contacto con nosotros de forma proactiva, como nosotros lo hacemos con usted. Si no está de acuerdo con nuestras propuestas, ayúdenos diciéndonos qué soluciones alternativas deberíamos considerar para resolver problemas complejos.</w:t>
      </w:r>
    </w:p>
    <w:p w14:paraId="4C0D4E3D" w14:textId="77777777" w:rsidR="00313CC2" w:rsidRPr="00313CC2" w:rsidRDefault="00313CC2" w:rsidP="00313CC2">
      <w:pPr>
        <w:jc w:val="both"/>
      </w:pPr>
      <w:r w:rsidRPr="00313CC2">
        <w:t>Y no hay mejor momento que ahora para iniciar este diálogo. Durante esta conferencia escucharán a mis colegas miembros del IASB y al personal técnico. Aprovechemos este tiempo para tener debates significativos sobre cómo podemos abordar colectivamente la complejidad y mejorar los informes financieros.</w:t>
      </w:r>
    </w:p>
    <w:p w14:paraId="357F653C" w14:textId="77777777" w:rsidR="00313CC2" w:rsidRPr="00313CC2" w:rsidRDefault="00313CC2" w:rsidP="00313CC2">
      <w:pPr>
        <w:jc w:val="both"/>
      </w:pPr>
      <w:r w:rsidRPr="00313CC2">
        <w:t>Muchas gracias por escuchar.</w:t>
      </w:r>
    </w:p>
    <w:p w14:paraId="735B77ED" w14:textId="77777777" w:rsidR="00313CC2" w:rsidRPr="00313CC2" w:rsidRDefault="00313CC2" w:rsidP="00313CC2">
      <w:pPr>
        <w:jc w:val="both"/>
        <w:rPr>
          <w:b/>
          <w:bCs/>
        </w:rPr>
      </w:pPr>
      <w:r w:rsidRPr="00313CC2">
        <w:rPr>
          <w:b/>
          <w:bCs/>
        </w:rPr>
        <w:t>Discurso inaugural del presidente del IASB, Andreas Barckow</w:t>
      </w:r>
    </w:p>
    <w:p w14:paraId="57B3302F" w14:textId="397FFF71" w:rsidR="00313CC2" w:rsidRDefault="00313CC2" w:rsidP="00313CC2">
      <w:pPr>
        <w:jc w:val="both"/>
        <w:rPr>
          <w:b/>
          <w:bCs/>
        </w:rPr>
      </w:pPr>
      <w:r w:rsidRPr="00313CC2">
        <w:rPr>
          <w:b/>
          <w:bCs/>
          <w:noProof/>
        </w:rPr>
        <w:drawing>
          <wp:inline distT="0" distB="0" distL="0" distR="0" wp14:anchorId="7E777793" wp14:editId="214C3156">
            <wp:extent cx="5612130" cy="316103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161030"/>
                    </a:xfrm>
                    <a:prstGeom prst="rect">
                      <a:avLst/>
                    </a:prstGeom>
                  </pic:spPr>
                </pic:pic>
              </a:graphicData>
            </a:graphic>
          </wp:inline>
        </w:drawing>
      </w:r>
    </w:p>
    <w:p w14:paraId="1101E285" w14:textId="5A5034EC" w:rsidR="00313CC2" w:rsidRDefault="00313CC2" w:rsidP="00313CC2">
      <w:pPr>
        <w:jc w:val="both"/>
      </w:pPr>
    </w:p>
    <w:p w14:paraId="3E0C2F2E" w14:textId="77777777" w:rsidR="00313CC2" w:rsidRDefault="00313CC2" w:rsidP="00313CC2">
      <w:pPr>
        <w:jc w:val="both"/>
      </w:pPr>
    </w:p>
    <w:sectPr w:rsidR="00313C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C2"/>
    <w:rsid w:val="001E1F1E"/>
    <w:rsid w:val="00313CC2"/>
    <w:rsid w:val="00333031"/>
    <w:rsid w:val="00674F86"/>
    <w:rsid w:val="00EA1C9B"/>
    <w:rsid w:val="00EC23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88313C"/>
  <w15:chartTrackingRefBased/>
  <w15:docId w15:val="{1711D841-238E-45D5-8CA4-E16EF4F3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13CC2"/>
    <w:rPr>
      <w:color w:val="0563C1" w:themeColor="hyperlink"/>
      <w:u w:val="single"/>
    </w:rPr>
  </w:style>
  <w:style w:type="character" w:styleId="Mencinsinresolver">
    <w:name w:val="Unresolved Mention"/>
    <w:basedOn w:val="Fuentedeprrafopredeter"/>
    <w:uiPriority w:val="99"/>
    <w:semiHidden/>
    <w:unhideWhenUsed/>
    <w:rsid w:val="00313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109794">
      <w:bodyDiv w:val="1"/>
      <w:marLeft w:val="0"/>
      <w:marRight w:val="0"/>
      <w:marTop w:val="0"/>
      <w:marBottom w:val="0"/>
      <w:divBdr>
        <w:top w:val="none" w:sz="0" w:space="0" w:color="auto"/>
        <w:left w:val="none" w:sz="0" w:space="0" w:color="auto"/>
        <w:bottom w:val="none" w:sz="0" w:space="0" w:color="auto"/>
        <w:right w:val="none" w:sz="0" w:space="0" w:color="auto"/>
      </w:divBdr>
      <w:divsChild>
        <w:div w:id="264584185">
          <w:marLeft w:val="0"/>
          <w:marRight w:val="0"/>
          <w:marTop w:val="0"/>
          <w:marBottom w:val="0"/>
          <w:divBdr>
            <w:top w:val="none" w:sz="0" w:space="0" w:color="auto"/>
            <w:left w:val="none" w:sz="0" w:space="0" w:color="auto"/>
            <w:bottom w:val="none" w:sz="0" w:space="0" w:color="auto"/>
            <w:right w:val="none" w:sz="0" w:space="0" w:color="auto"/>
          </w:divBdr>
        </w:div>
        <w:div w:id="1668559337">
          <w:marLeft w:val="0"/>
          <w:marRight w:val="0"/>
          <w:marTop w:val="300"/>
          <w:marBottom w:val="300"/>
          <w:divBdr>
            <w:top w:val="none" w:sz="0" w:space="0" w:color="auto"/>
            <w:left w:val="none" w:sz="0" w:space="0" w:color="auto"/>
            <w:bottom w:val="none" w:sz="0" w:space="0" w:color="auto"/>
            <w:right w:val="none" w:sz="0" w:space="0" w:color="auto"/>
          </w:divBdr>
        </w:div>
        <w:div w:id="1429690877">
          <w:marLeft w:val="0"/>
          <w:marRight w:val="0"/>
          <w:marTop w:val="600"/>
          <w:marBottom w:val="0"/>
          <w:divBdr>
            <w:top w:val="none" w:sz="0" w:space="0" w:color="auto"/>
            <w:left w:val="none" w:sz="0" w:space="0" w:color="auto"/>
            <w:bottom w:val="none" w:sz="0" w:space="0" w:color="auto"/>
            <w:right w:val="none" w:sz="0" w:space="0" w:color="auto"/>
          </w:divBdr>
          <w:divsChild>
            <w:div w:id="136363179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804494043">
      <w:bodyDiv w:val="1"/>
      <w:marLeft w:val="0"/>
      <w:marRight w:val="0"/>
      <w:marTop w:val="0"/>
      <w:marBottom w:val="0"/>
      <w:divBdr>
        <w:top w:val="none" w:sz="0" w:space="0" w:color="auto"/>
        <w:left w:val="none" w:sz="0" w:space="0" w:color="auto"/>
        <w:bottom w:val="none" w:sz="0" w:space="0" w:color="auto"/>
        <w:right w:val="none" w:sz="0" w:space="0" w:color="auto"/>
      </w:divBdr>
      <w:divsChild>
        <w:div w:id="1358041655">
          <w:marLeft w:val="0"/>
          <w:marRight w:val="0"/>
          <w:marTop w:val="0"/>
          <w:marBottom w:val="0"/>
          <w:divBdr>
            <w:top w:val="none" w:sz="0" w:space="0" w:color="auto"/>
            <w:left w:val="none" w:sz="0" w:space="0" w:color="auto"/>
            <w:bottom w:val="none" w:sz="0" w:space="0" w:color="auto"/>
            <w:right w:val="none" w:sz="0" w:space="0" w:color="auto"/>
          </w:divBdr>
          <w:divsChild>
            <w:div w:id="1823229825">
              <w:marLeft w:val="0"/>
              <w:marRight w:val="0"/>
              <w:marTop w:val="0"/>
              <w:marBottom w:val="0"/>
              <w:divBdr>
                <w:top w:val="none" w:sz="0" w:space="0" w:color="auto"/>
                <w:left w:val="none" w:sz="0" w:space="0" w:color="auto"/>
                <w:bottom w:val="none" w:sz="0" w:space="0" w:color="auto"/>
                <w:right w:val="none" w:sz="0" w:space="0" w:color="auto"/>
              </w:divBdr>
              <w:divsChild>
                <w:div w:id="440151570">
                  <w:marLeft w:val="0"/>
                  <w:marRight w:val="0"/>
                  <w:marTop w:val="0"/>
                  <w:marBottom w:val="0"/>
                  <w:divBdr>
                    <w:top w:val="none" w:sz="0" w:space="0" w:color="auto"/>
                    <w:left w:val="none" w:sz="0" w:space="0" w:color="auto"/>
                    <w:bottom w:val="none" w:sz="0" w:space="0" w:color="auto"/>
                    <w:right w:val="none" w:sz="0" w:space="0" w:color="auto"/>
                  </w:divBdr>
                </w:div>
              </w:divsChild>
            </w:div>
            <w:div w:id="1861236115">
              <w:marLeft w:val="0"/>
              <w:marRight w:val="0"/>
              <w:marTop w:val="0"/>
              <w:marBottom w:val="0"/>
              <w:divBdr>
                <w:top w:val="none" w:sz="0" w:space="0" w:color="auto"/>
                <w:left w:val="none" w:sz="0" w:space="0" w:color="auto"/>
                <w:bottom w:val="none" w:sz="0" w:space="0" w:color="auto"/>
                <w:right w:val="none" w:sz="0" w:space="0" w:color="auto"/>
              </w:divBdr>
              <w:divsChild>
                <w:div w:id="13192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3284">
          <w:marLeft w:val="0"/>
          <w:marRight w:val="0"/>
          <w:marTop w:val="0"/>
          <w:marBottom w:val="0"/>
          <w:divBdr>
            <w:top w:val="none" w:sz="0" w:space="0" w:color="auto"/>
            <w:left w:val="none" w:sz="0" w:space="0" w:color="auto"/>
            <w:bottom w:val="none" w:sz="0" w:space="0" w:color="auto"/>
            <w:right w:val="none" w:sz="0" w:space="0" w:color="auto"/>
          </w:divBdr>
          <w:divsChild>
            <w:div w:id="481586972">
              <w:marLeft w:val="0"/>
              <w:marRight w:val="0"/>
              <w:marTop w:val="0"/>
              <w:marBottom w:val="0"/>
              <w:divBdr>
                <w:top w:val="none" w:sz="0" w:space="0" w:color="auto"/>
                <w:left w:val="none" w:sz="0" w:space="0" w:color="auto"/>
                <w:bottom w:val="none" w:sz="0" w:space="0" w:color="auto"/>
                <w:right w:val="none" w:sz="0" w:space="0" w:color="auto"/>
              </w:divBdr>
              <w:divsChild>
                <w:div w:id="278949366">
                  <w:marLeft w:val="0"/>
                  <w:marRight w:val="0"/>
                  <w:marTop w:val="0"/>
                  <w:marBottom w:val="0"/>
                  <w:divBdr>
                    <w:top w:val="none" w:sz="0" w:space="0" w:color="auto"/>
                    <w:left w:val="none" w:sz="0" w:space="0" w:color="auto"/>
                    <w:bottom w:val="none" w:sz="0" w:space="0" w:color="auto"/>
                    <w:right w:val="none" w:sz="0" w:space="0" w:color="auto"/>
                  </w:divBdr>
                  <w:divsChild>
                    <w:div w:id="509562312">
                      <w:marLeft w:val="0"/>
                      <w:marRight w:val="0"/>
                      <w:marTop w:val="0"/>
                      <w:marBottom w:val="0"/>
                      <w:divBdr>
                        <w:top w:val="none" w:sz="0" w:space="0" w:color="auto"/>
                        <w:left w:val="none" w:sz="0" w:space="0" w:color="auto"/>
                        <w:bottom w:val="none" w:sz="0" w:space="0" w:color="auto"/>
                        <w:right w:val="none" w:sz="0" w:space="0" w:color="auto"/>
                      </w:divBdr>
                      <w:divsChild>
                        <w:div w:id="285166665">
                          <w:marLeft w:val="0"/>
                          <w:marRight w:val="0"/>
                          <w:marTop w:val="0"/>
                          <w:marBottom w:val="0"/>
                          <w:divBdr>
                            <w:top w:val="none" w:sz="0" w:space="0" w:color="auto"/>
                            <w:left w:val="none" w:sz="0" w:space="0" w:color="auto"/>
                            <w:bottom w:val="none" w:sz="0" w:space="0" w:color="auto"/>
                            <w:right w:val="none" w:sz="0" w:space="0" w:color="auto"/>
                          </w:divBdr>
                          <w:divsChild>
                            <w:div w:id="1318917469">
                              <w:marLeft w:val="0"/>
                              <w:marRight w:val="0"/>
                              <w:marTop w:val="0"/>
                              <w:marBottom w:val="0"/>
                              <w:divBdr>
                                <w:top w:val="none" w:sz="0" w:space="0" w:color="auto"/>
                                <w:left w:val="none" w:sz="0" w:space="0" w:color="auto"/>
                                <w:bottom w:val="none" w:sz="0" w:space="0" w:color="auto"/>
                                <w:right w:val="none" w:sz="0" w:space="0" w:color="auto"/>
                              </w:divBdr>
                              <w:divsChild>
                                <w:div w:id="2143497962">
                                  <w:marLeft w:val="0"/>
                                  <w:marRight w:val="0"/>
                                  <w:marTop w:val="0"/>
                                  <w:marBottom w:val="0"/>
                                  <w:divBdr>
                                    <w:top w:val="none" w:sz="0" w:space="0" w:color="auto"/>
                                    <w:left w:val="none" w:sz="0" w:space="0" w:color="auto"/>
                                    <w:bottom w:val="none" w:sz="0" w:space="0" w:color="auto"/>
                                    <w:right w:val="none" w:sz="0" w:space="0" w:color="auto"/>
                                  </w:divBdr>
                                  <w:divsChild>
                                    <w:div w:id="130903518">
                                      <w:marLeft w:val="0"/>
                                      <w:marRight w:val="0"/>
                                      <w:marTop w:val="0"/>
                                      <w:marBottom w:val="0"/>
                                      <w:divBdr>
                                        <w:top w:val="none" w:sz="0" w:space="0" w:color="auto"/>
                                        <w:left w:val="none" w:sz="0" w:space="0" w:color="auto"/>
                                        <w:bottom w:val="none" w:sz="0" w:space="0" w:color="auto"/>
                                        <w:right w:val="none" w:sz="0" w:space="0" w:color="auto"/>
                                      </w:divBdr>
                                      <w:divsChild>
                                        <w:div w:id="1544946788">
                                          <w:marLeft w:val="0"/>
                                          <w:marRight w:val="0"/>
                                          <w:marTop w:val="0"/>
                                          <w:marBottom w:val="0"/>
                                          <w:divBdr>
                                            <w:top w:val="none" w:sz="0" w:space="0" w:color="auto"/>
                                            <w:left w:val="none" w:sz="0" w:space="0" w:color="auto"/>
                                            <w:bottom w:val="none" w:sz="0" w:space="0" w:color="auto"/>
                                            <w:right w:val="none" w:sz="0" w:space="0" w:color="auto"/>
                                          </w:divBdr>
                                          <w:divsChild>
                                            <w:div w:id="2076390990">
                                              <w:marLeft w:val="0"/>
                                              <w:marRight w:val="0"/>
                                              <w:marTop w:val="0"/>
                                              <w:marBottom w:val="0"/>
                                              <w:divBdr>
                                                <w:top w:val="none" w:sz="0" w:space="0" w:color="auto"/>
                                                <w:left w:val="none" w:sz="0" w:space="0" w:color="auto"/>
                                                <w:bottom w:val="none" w:sz="0" w:space="0" w:color="auto"/>
                                                <w:right w:val="none" w:sz="0" w:space="0" w:color="auto"/>
                                              </w:divBdr>
                                              <w:divsChild>
                                                <w:div w:id="12063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complexity/"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xbrl.org/tag/data/" TargetMode="External"/><Relationship Id="rId12" Type="http://schemas.openxmlformats.org/officeDocument/2006/relationships/hyperlink" Target="https://www.ifrs.org/content/ifrs/home/news-and-events/events/2023/june/ifrs-foundation-conference-202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rs.org/news-and-events/news/2024/06/complexity-in-focus-keynote-address-iasb-chair/" TargetMode="External"/><Relationship Id="rId11" Type="http://schemas.openxmlformats.org/officeDocument/2006/relationships/hyperlink" Target="https://www.ifrs.org/content/ifrs/home/news-and-events/events/2024/june/ifrs-foundation-conference-2024.html" TargetMode="External"/><Relationship Id="rId5" Type="http://schemas.openxmlformats.org/officeDocument/2006/relationships/hyperlink" Target="https://www.xbrl.org/news/complexity-in-focus-for-iasb-chair/"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ias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2485</Words>
  <Characters>13668</Characters>
  <Application>Microsoft Office Word</Application>
  <DocSecurity>0</DocSecurity>
  <Lines>113</Lines>
  <Paragraphs>32</Paragraphs>
  <ScaleCrop>false</ScaleCrop>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2024-07-09T04:04:00Z</dcterms:created>
  <dcterms:modified xsi:type="dcterms:W3CDTF">2024-11-05T03:17:00Z</dcterms:modified>
</cp:coreProperties>
</file>