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F9508" w14:textId="77777777" w:rsidR="002006E8" w:rsidRPr="00715CD6" w:rsidRDefault="002006E8" w:rsidP="002006E8">
      <w:pPr>
        <w:jc w:val="both"/>
        <w:rPr>
          <w:rFonts w:ascii="Abadi" w:hAnsi="Abadi"/>
          <w:sz w:val="28"/>
          <w:szCs w:val="28"/>
        </w:rPr>
      </w:pPr>
      <w:r w:rsidRPr="00715CD6">
        <w:rPr>
          <w:rFonts w:ascii="Abadi" w:hAnsi="Abadi"/>
          <w:sz w:val="28"/>
          <w:szCs w:val="28"/>
        </w:rPr>
        <w:t>Las ESA publican los estándares finales para ESAP, el centro de datos central de Europa</w:t>
      </w:r>
    </w:p>
    <w:p w14:paraId="0453212E" w14:textId="1BC12E77" w:rsidR="002006E8" w:rsidRPr="002006E8" w:rsidRDefault="002006E8" w:rsidP="002006E8">
      <w:pPr>
        <w:jc w:val="both"/>
      </w:pPr>
      <w:r w:rsidRPr="002006E8">
        <w:rPr>
          <w:noProof/>
        </w:rPr>
        <w:drawing>
          <wp:inline distT="0" distB="0" distL="0" distR="0" wp14:anchorId="11D624D4" wp14:editId="744BD1EC">
            <wp:extent cx="5612130" cy="3747770"/>
            <wp:effectExtent l="0" t="0" r="762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747770"/>
                    </a:xfrm>
                    <a:prstGeom prst="rect">
                      <a:avLst/>
                    </a:prstGeom>
                    <a:noFill/>
                    <a:ln>
                      <a:noFill/>
                    </a:ln>
                  </pic:spPr>
                </pic:pic>
              </a:graphicData>
            </a:graphic>
          </wp:inline>
        </w:drawing>
      </w:r>
    </w:p>
    <w:p w14:paraId="44F07929" w14:textId="33D8E59E" w:rsidR="00F91FEB" w:rsidRPr="002006E8" w:rsidRDefault="00F91FEB" w:rsidP="00F91FEB">
      <w:pPr>
        <w:jc w:val="both"/>
      </w:pPr>
      <w:r w:rsidRPr="002006E8">
        <w:t>Publicado el 3 de noviembre de 2024 por</w:t>
      </w:r>
      <w:r>
        <w:t xml:space="preserve"> </w:t>
      </w:r>
      <w:hyperlink r:id="rId6" w:history="1">
        <w:r w:rsidRPr="002006E8">
          <w:rPr>
            <w:rStyle w:val="Hipervnculo"/>
            <w:b/>
            <w:bCs/>
          </w:rPr>
          <w:t>Editor</w:t>
        </w:r>
      </w:hyperlink>
    </w:p>
    <w:p w14:paraId="042C9BA2" w14:textId="77777777" w:rsidR="002006E8" w:rsidRPr="002006E8" w:rsidRDefault="002006E8" w:rsidP="002006E8">
      <w:pPr>
        <w:jc w:val="both"/>
      </w:pPr>
      <w:r w:rsidRPr="002006E8">
        <w:t>Las Autoridades Europeas de Supervisión (AES), que comprenden la Autoridad Bancaria Europea (ABE), la Autoridad Europea de Seguros y Pensiones de Jubilación (AESPJ) y la Autoridad Europea de Valores y Mercados (AEVM), han publicado su Informe final sobre las nuevas normas técnicas de implementación (ITS) para el Punto de Acceso Único Europeo (ESAP).Publicadas el 29 de octubre, estas normas establecen los procedimientos para recopilar, validar y compartir datos financieros y de sostenibilidad a través del ESAP, diseñados para proporcionar acceso público centralizado a esta información esencial en toda la UE.</w:t>
      </w:r>
    </w:p>
    <w:p w14:paraId="3E5B58FD" w14:textId="77777777" w:rsidR="002006E8" w:rsidRPr="002006E8" w:rsidRDefault="002006E8" w:rsidP="002006E8">
      <w:pPr>
        <w:jc w:val="both"/>
      </w:pPr>
      <w:r w:rsidRPr="002006E8">
        <w:t>Las nuevas normas introducen requisitos detallados para los "organismos de recopilación", incluidos los mecanismos designados oficialmente, las autoridades nacionales y las agencias de la UE, para estandarizar y validar los envíos de datos de las empresas antes de que entren en el ESAP. Con requisitos específicos para el formato de los datos, los protocolos de validación, los metadatos y el acceso a las API, el ESAP pretende agilizar el acceso público mediante el uso de un formato de datos estructurado, con un enfoque significativo en XBRL, lo que hace que los datos financieros y de sostenibilidad no solo sean accesibles, sino también fáciles de integrar y analizar.</w:t>
      </w:r>
    </w:p>
    <w:p w14:paraId="5171B228" w14:textId="77777777" w:rsidR="002006E8" w:rsidRPr="002006E8" w:rsidRDefault="002006E8" w:rsidP="002006E8">
      <w:pPr>
        <w:jc w:val="both"/>
      </w:pPr>
      <w:r w:rsidRPr="002006E8">
        <w:t xml:space="preserve">El papel del ESAP es apoyar la Unión de Ahorro e Inversión más amplia de la UE (el nuevo nombre de la “Unión del Mercado de Capitales”), centralizando el acceso a la información financiera y de sostenibilidad. Piense en el ESAP como la bóveda de datos financieros de la UE: integral, centralizada y lista para servir a cualquier persona que necesite un acceso sin fisuras a datos validados y </w:t>
      </w:r>
      <w:r w:rsidRPr="002006E8">
        <w:lastRenderedPageBreak/>
        <w:t>estandarizados. El objetivo es evitar largas horas de búsquedas en fuentes dispersas. Los datos estarán en un solo lugar, estructurados y validados para un análisis, una comprensión y una toma de decisiones precisos. Se espera que la recopilación de información comience en julio de 2026, y su publicación completa se realizará en julio de 2027.</w:t>
      </w:r>
    </w:p>
    <w:p w14:paraId="11CC96FB" w14:textId="77777777" w:rsidR="002006E8" w:rsidRPr="002006E8" w:rsidRDefault="002006E8" w:rsidP="002006E8">
      <w:pPr>
        <w:jc w:val="both"/>
      </w:pPr>
      <w:r w:rsidRPr="002006E8">
        <w:t>Este paso hacia un ecosistema totalmente digital y con una importante presencia de XBRL supone un gran paso adelante para la transparencia y la eficiencia del mercado europeo. El continente ha sufrido la existencia de silos de datos durante mucho tiempo. El énfasis de las ESA en la calidad y la accesibilidad de los datos hace que este sea un paso técnico hacia un futuro de informes digitales fluidos, fiables y centralizados. Un enfoque en la puntualidad, la calidad y la cobertura harán que esto sea una realidad.</w:t>
      </w:r>
    </w:p>
    <w:p w14:paraId="70C8C49E" w14:textId="4420CF36" w:rsidR="002006E8" w:rsidRPr="002006E8" w:rsidRDefault="002006E8" w:rsidP="002006E8">
      <w:pPr>
        <w:jc w:val="both"/>
      </w:pPr>
      <w:r w:rsidRPr="002006E8">
        <w:t>Lea el</w:t>
      </w:r>
      <w:r w:rsidR="00F91FEB">
        <w:t xml:space="preserve"> </w:t>
      </w:r>
      <w:hyperlink r:id="rId7" w:tgtFrame="_blank" w:history="1">
        <w:r w:rsidRPr="002006E8">
          <w:rPr>
            <w:rStyle w:val="Hipervnculo"/>
          </w:rPr>
          <w:t>informe completo</w:t>
        </w:r>
      </w:hyperlink>
      <w:r w:rsidR="00F91FEB">
        <w:t xml:space="preserve"> </w:t>
      </w:r>
      <w:r w:rsidRPr="002006E8">
        <w:t>para saber más.</w:t>
      </w:r>
    </w:p>
    <w:p w14:paraId="612BCC65" w14:textId="05516AF1" w:rsidR="002006E8" w:rsidRPr="002006E8" w:rsidRDefault="00715CD6" w:rsidP="002006E8">
      <w:pPr>
        <w:jc w:val="both"/>
      </w:pPr>
      <w:hyperlink r:id="rId8" w:history="1">
        <w:r w:rsidR="002006E8" w:rsidRPr="002006E8">
          <w:rPr>
            <w:rStyle w:val="Hipervnculo"/>
          </w:rPr>
          <w:t>ESAP</w:t>
        </w:r>
        <w:r w:rsidR="00F91FEB">
          <w:rPr>
            <w:rStyle w:val="Hipervnculo"/>
          </w:rPr>
          <w:t xml:space="preserve"> </w:t>
        </w:r>
      </w:hyperlink>
      <w:hyperlink r:id="rId9" w:history="1">
        <w:r w:rsidR="002006E8" w:rsidRPr="002006E8">
          <w:rPr>
            <w:rStyle w:val="Hipervnculo"/>
          </w:rPr>
          <w:t>ESAS</w:t>
        </w:r>
        <w:r w:rsidR="00F91FEB">
          <w:rPr>
            <w:rStyle w:val="Hipervnculo"/>
          </w:rPr>
          <w:t xml:space="preserve"> </w:t>
        </w:r>
      </w:hyperlink>
      <w:hyperlink r:id="rId10" w:history="1">
        <w:r w:rsidR="002006E8" w:rsidRPr="002006E8">
          <w:rPr>
            <w:rStyle w:val="Hipervnculo"/>
          </w:rPr>
          <w:t>UE</w:t>
        </w:r>
      </w:hyperlink>
    </w:p>
    <w:p w14:paraId="684D2737" w14:textId="02FDFC1A" w:rsidR="002006E8" w:rsidRPr="002006E8" w:rsidRDefault="002006E8" w:rsidP="002006E8">
      <w:pPr>
        <w:jc w:val="both"/>
      </w:pPr>
    </w:p>
    <w:p w14:paraId="283D67DE" w14:textId="1C100F36" w:rsidR="0057581D" w:rsidRDefault="0057581D" w:rsidP="002006E8">
      <w:pPr>
        <w:jc w:val="both"/>
      </w:pPr>
    </w:p>
    <w:p w14:paraId="2F244B48" w14:textId="615C4236" w:rsidR="002006E8" w:rsidRDefault="002006E8" w:rsidP="002006E8">
      <w:pPr>
        <w:jc w:val="both"/>
      </w:pPr>
    </w:p>
    <w:p w14:paraId="2B64FAAB" w14:textId="5BF13EEC" w:rsidR="00872F9D" w:rsidRDefault="00872F9D" w:rsidP="002006E8">
      <w:pPr>
        <w:jc w:val="both"/>
      </w:pPr>
    </w:p>
    <w:p w14:paraId="5107C48A" w14:textId="320BD60C" w:rsidR="00872F9D" w:rsidRDefault="00872F9D" w:rsidP="002006E8">
      <w:pPr>
        <w:jc w:val="both"/>
      </w:pPr>
    </w:p>
    <w:p w14:paraId="0B1F6421" w14:textId="4E50EA54" w:rsidR="00872F9D" w:rsidRDefault="00872F9D" w:rsidP="002006E8">
      <w:pPr>
        <w:jc w:val="both"/>
      </w:pPr>
    </w:p>
    <w:p w14:paraId="113A7608" w14:textId="0ACEB866" w:rsidR="00872F9D" w:rsidRDefault="00872F9D" w:rsidP="002006E8">
      <w:pPr>
        <w:jc w:val="both"/>
      </w:pPr>
    </w:p>
    <w:p w14:paraId="3784C9F7" w14:textId="7C44E94F" w:rsidR="00872F9D" w:rsidRDefault="00872F9D" w:rsidP="002006E8">
      <w:pPr>
        <w:jc w:val="both"/>
      </w:pPr>
    </w:p>
    <w:p w14:paraId="7AB78111" w14:textId="6CDF75AA" w:rsidR="00872F9D" w:rsidRDefault="00872F9D" w:rsidP="002006E8">
      <w:pPr>
        <w:jc w:val="both"/>
      </w:pPr>
    </w:p>
    <w:p w14:paraId="53B1EAC6" w14:textId="6B889D0C" w:rsidR="00872F9D" w:rsidRDefault="00872F9D" w:rsidP="002006E8">
      <w:pPr>
        <w:jc w:val="both"/>
      </w:pPr>
    </w:p>
    <w:p w14:paraId="72FDBD82" w14:textId="0B5C10A7" w:rsidR="00872F9D" w:rsidRDefault="00872F9D" w:rsidP="002006E8">
      <w:pPr>
        <w:jc w:val="both"/>
      </w:pPr>
    </w:p>
    <w:p w14:paraId="65F783D9" w14:textId="638A09FA" w:rsidR="00872F9D" w:rsidRDefault="00872F9D" w:rsidP="002006E8">
      <w:pPr>
        <w:jc w:val="both"/>
      </w:pPr>
    </w:p>
    <w:p w14:paraId="41AD961C" w14:textId="77777777" w:rsidR="00872F9D" w:rsidRDefault="00872F9D" w:rsidP="002006E8">
      <w:pPr>
        <w:jc w:val="both"/>
      </w:pPr>
    </w:p>
    <w:p w14:paraId="3771D27A" w14:textId="24A455C2" w:rsidR="002006E8" w:rsidRDefault="002006E8" w:rsidP="002006E8">
      <w:pPr>
        <w:jc w:val="both"/>
      </w:pPr>
    </w:p>
    <w:p w14:paraId="4F7AB93C" w14:textId="77777777" w:rsidR="002006E8" w:rsidRDefault="002006E8" w:rsidP="002006E8">
      <w:pPr>
        <w:jc w:val="both"/>
      </w:pPr>
    </w:p>
    <w:p w14:paraId="65C4E176" w14:textId="32A655E8" w:rsidR="002006E8" w:rsidRDefault="002006E8" w:rsidP="002006E8">
      <w:pPr>
        <w:jc w:val="both"/>
      </w:pPr>
    </w:p>
    <w:p w14:paraId="323A8005" w14:textId="3B64854B" w:rsidR="002006E8" w:rsidRDefault="002006E8" w:rsidP="002006E8">
      <w:pPr>
        <w:jc w:val="both"/>
      </w:pPr>
    </w:p>
    <w:p w14:paraId="1A5A4EE9" w14:textId="64BD182E" w:rsidR="00872F9D" w:rsidRDefault="00872F9D" w:rsidP="002006E8">
      <w:pPr>
        <w:jc w:val="both"/>
      </w:pPr>
    </w:p>
    <w:p w14:paraId="140A35E8" w14:textId="29F1A704" w:rsidR="002006E8" w:rsidRDefault="002006E8" w:rsidP="002006E8">
      <w:pPr>
        <w:jc w:val="both"/>
      </w:pPr>
      <w:r w:rsidRPr="002006E8">
        <w:rPr>
          <w:noProof/>
        </w:rPr>
        <w:lastRenderedPageBreak/>
        <w:drawing>
          <wp:inline distT="0" distB="0" distL="0" distR="0" wp14:anchorId="36A10DA9" wp14:editId="44737303">
            <wp:extent cx="5612130" cy="545465"/>
            <wp:effectExtent l="0" t="0" r="762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545465"/>
                    </a:xfrm>
                    <a:prstGeom prst="rect">
                      <a:avLst/>
                    </a:prstGeom>
                  </pic:spPr>
                </pic:pic>
              </a:graphicData>
            </a:graphic>
          </wp:inline>
        </w:drawing>
      </w:r>
    </w:p>
    <w:p w14:paraId="67F83DE2" w14:textId="77777777" w:rsidR="002006E8" w:rsidRPr="00F91FEB" w:rsidRDefault="002006E8" w:rsidP="002006E8">
      <w:pPr>
        <w:jc w:val="both"/>
        <w:rPr>
          <w:rFonts w:ascii="Abadi" w:hAnsi="Abadi"/>
        </w:rPr>
      </w:pPr>
      <w:r w:rsidRPr="00F91FEB">
        <w:rPr>
          <w:rFonts w:ascii="Abadi" w:hAnsi="Abadi"/>
        </w:rPr>
        <w:t>Las ESA ultiman las normas para facilitar el acceso a la información financiera y de sostenibilidad en el PAES</w:t>
      </w:r>
    </w:p>
    <w:p w14:paraId="396AFCBD" w14:textId="3AB5892C" w:rsidR="002006E8" w:rsidRPr="00F91FEB" w:rsidRDefault="00872F9D" w:rsidP="002006E8">
      <w:pPr>
        <w:numPr>
          <w:ilvl w:val="0"/>
          <w:numId w:val="1"/>
        </w:numPr>
        <w:jc w:val="both"/>
        <w:rPr>
          <w:rFonts w:ascii="Abadi" w:hAnsi="Abadi"/>
        </w:rPr>
      </w:pPr>
      <w:r w:rsidRPr="00F91FEB">
        <w:rPr>
          <w:rFonts w:ascii="Abadi" w:hAnsi="Abadi"/>
        </w:rPr>
        <w:t>Comunicado de prensa</w:t>
      </w:r>
    </w:p>
    <w:p w14:paraId="586EBF3E" w14:textId="77777777" w:rsidR="002006E8" w:rsidRPr="00F91FEB" w:rsidRDefault="002006E8" w:rsidP="002006E8">
      <w:pPr>
        <w:numPr>
          <w:ilvl w:val="0"/>
          <w:numId w:val="1"/>
        </w:numPr>
        <w:jc w:val="both"/>
        <w:rPr>
          <w:rFonts w:ascii="Abadi" w:hAnsi="Abadi"/>
        </w:rPr>
      </w:pPr>
      <w:r w:rsidRPr="00F91FEB">
        <w:rPr>
          <w:rFonts w:ascii="Abadi" w:hAnsi="Abadi"/>
        </w:rPr>
        <w:t>29 de octubre de 2024</w:t>
      </w:r>
    </w:p>
    <w:p w14:paraId="2BAB8C89" w14:textId="77777777" w:rsidR="002006E8" w:rsidRPr="00F91FEB" w:rsidRDefault="002006E8" w:rsidP="002006E8">
      <w:pPr>
        <w:jc w:val="both"/>
        <w:rPr>
          <w:rFonts w:ascii="Abadi" w:hAnsi="Abadi"/>
        </w:rPr>
      </w:pPr>
      <w:r w:rsidRPr="00F91FEB">
        <w:rPr>
          <w:rFonts w:ascii="Abadi" w:hAnsi="Abadi"/>
        </w:rPr>
        <w:t>Las tres Autoridades Europeas de Supervisión (ABE, EIOPA y ESMA, las ESA) publicaron hoy el Informe Final sobre los proyectos de normas técnicas de ejecución (ITS) relativos a determinadas tareas de los organismos de recaudación y funcionalidades del Punto de Acceso Único Europeo (ESAP).</w:t>
      </w:r>
    </w:p>
    <w:p w14:paraId="6F3B2388" w14:textId="77777777" w:rsidR="002006E8" w:rsidRPr="002006E8" w:rsidRDefault="002006E8" w:rsidP="002006E8">
      <w:pPr>
        <w:jc w:val="both"/>
      </w:pPr>
      <w:r w:rsidRPr="002006E8">
        <w:t>La legislación de nivel 1 prevé que el ESAP sea un sistema de dos niveles, en el que las entidades envían primero la información a los “organismos de recopilación” (mecanismos designados oficialmente, oficinas y agencias de la UE, autoridades nacionales, entre otros) y luego los organismos de recopilación la ponen a disposición del ESAP. Estos ITS son el primer hito para el establecimiento exitoso de un ESAP completamente operativo.</w:t>
      </w:r>
    </w:p>
    <w:p w14:paraId="4ACF0859" w14:textId="77777777" w:rsidR="002006E8" w:rsidRPr="002006E8" w:rsidRDefault="002006E8" w:rsidP="002006E8">
      <w:pPr>
        <w:jc w:val="both"/>
      </w:pPr>
      <w:r w:rsidRPr="002006E8">
        <w:t>Los requisitos están diseñados para permitir que los futuros usuarios puedan acceder y utilizar la información financiera y de sostenibilidad de manera efectiva y sin esfuerzo en una plataforma ESAP centralizada.</w:t>
      </w:r>
    </w:p>
    <w:p w14:paraId="03802690" w14:textId="77777777" w:rsidR="002006E8" w:rsidRPr="002006E8" w:rsidRDefault="002006E8" w:rsidP="002006E8">
      <w:pPr>
        <w:jc w:val="both"/>
        <w:rPr>
          <w:b/>
          <w:bCs/>
        </w:rPr>
      </w:pPr>
      <w:r w:rsidRPr="002006E8">
        <w:rPr>
          <w:b/>
          <w:bCs/>
        </w:rPr>
        <w:t>Organismos de cobro</w:t>
      </w:r>
    </w:p>
    <w:p w14:paraId="665408D3" w14:textId="77777777" w:rsidR="002006E8" w:rsidRPr="002006E8" w:rsidRDefault="002006E8" w:rsidP="002006E8">
      <w:pPr>
        <w:jc w:val="both"/>
      </w:pPr>
      <w:r w:rsidRPr="002006E8">
        <w:t>Las ITS sobre las tareas de los organismos de recaudación especifican requisitos detallados para los organismos de recaudación, como cuándo y en qué formato se debe poner la información a disposición del ESAP, qué tipo de comprobaciones de validación se deben realizar sobre la información presentada por las entidades y qué metadatos se deben incluir.</w:t>
      </w:r>
    </w:p>
    <w:p w14:paraId="40E36E6E" w14:textId="77777777" w:rsidR="002006E8" w:rsidRPr="002006E8" w:rsidRDefault="002006E8" w:rsidP="002006E8">
      <w:pPr>
        <w:jc w:val="both"/>
        <w:rPr>
          <w:b/>
          <w:bCs/>
        </w:rPr>
      </w:pPr>
      <w:r w:rsidRPr="002006E8">
        <w:rPr>
          <w:b/>
          <w:bCs/>
        </w:rPr>
        <w:t>Funcionalidades del ESAP</w:t>
      </w:r>
    </w:p>
    <w:p w14:paraId="70103B63" w14:textId="77777777" w:rsidR="002006E8" w:rsidRPr="002006E8" w:rsidRDefault="002006E8" w:rsidP="002006E8">
      <w:pPr>
        <w:jc w:val="both"/>
      </w:pPr>
      <w:r w:rsidRPr="002006E8">
        <w:t>Las ITS sobre las funcionalidades del ESAP especifican los requisitos para que la información sea fácilmente accesible para los usuarios. Estos requisitos definen, entre otras cosas, cómo deben clasificarse las entidades informantes por sector y tamaño, qué identificador debe utilizarse, qué tipos de información deben ponerse a disposición en el ESAP y las características de la interfaz de programación de aplicaciones (API) pública disponible para los usuarios de los datos.</w:t>
      </w:r>
    </w:p>
    <w:p w14:paraId="39C34578" w14:textId="77777777" w:rsidR="002006E8" w:rsidRPr="002006E8" w:rsidRDefault="002006E8" w:rsidP="002006E8">
      <w:pPr>
        <w:jc w:val="both"/>
        <w:rPr>
          <w:b/>
          <w:bCs/>
        </w:rPr>
      </w:pPr>
      <w:r w:rsidRPr="002006E8">
        <w:rPr>
          <w:b/>
          <w:bCs/>
        </w:rPr>
        <w:t>Antecedentes y próximos pasos</w:t>
      </w:r>
    </w:p>
    <w:p w14:paraId="134CD3DB" w14:textId="77777777" w:rsidR="002006E8" w:rsidRPr="002006E8" w:rsidRDefault="002006E8" w:rsidP="002006E8">
      <w:pPr>
        <w:jc w:val="both"/>
      </w:pPr>
      <w:r w:rsidRPr="002006E8">
        <w:t>La creación del Plan de Acción Estratégica para el Ahorro y la Inversión (PAES) será una contribución fundamental a la creación de la Unión de Ahorro e Inversión. El PAES facilitará el acceso a información pública pertinente a los servicios financieros, los mercados de capitales y la sostenibilidad.</w:t>
      </w:r>
    </w:p>
    <w:p w14:paraId="05682213" w14:textId="77777777" w:rsidR="002006E8" w:rsidRPr="002006E8" w:rsidRDefault="002006E8" w:rsidP="002006E8">
      <w:pPr>
        <w:jc w:val="both"/>
      </w:pPr>
      <w:r w:rsidRPr="002006E8">
        <w:t>Se espera que el ESAP comience a recopilar información en julio de 2026, mientras que la publicación de la información comenzará a más tardar en julio de 2027.</w:t>
      </w:r>
    </w:p>
    <w:p w14:paraId="06EFD825" w14:textId="77777777" w:rsidR="002006E8" w:rsidRPr="002006E8" w:rsidRDefault="002006E8" w:rsidP="002006E8">
      <w:pPr>
        <w:jc w:val="both"/>
      </w:pPr>
      <w:r w:rsidRPr="002006E8">
        <w:lastRenderedPageBreak/>
        <w:t>El informe final ha sido enviado a la Comisión Europea para su adopción.</w:t>
      </w:r>
    </w:p>
    <w:p w14:paraId="3A43C17C" w14:textId="77777777" w:rsidR="002006E8" w:rsidRPr="002006E8" w:rsidRDefault="002006E8" w:rsidP="002006E8">
      <w:pPr>
        <w:jc w:val="both"/>
        <w:rPr>
          <w:b/>
          <w:bCs/>
        </w:rPr>
      </w:pPr>
      <w:r w:rsidRPr="002006E8">
        <w:rPr>
          <w:b/>
          <w:bCs/>
        </w:rPr>
        <w:t>Documentos</w:t>
      </w:r>
    </w:p>
    <w:p w14:paraId="546274CF" w14:textId="77777777" w:rsidR="002006E8" w:rsidRPr="002006E8" w:rsidRDefault="002006E8" w:rsidP="002006E8">
      <w:pPr>
        <w:jc w:val="both"/>
        <w:rPr>
          <w:b/>
          <w:bCs/>
        </w:rPr>
      </w:pPr>
      <w:r w:rsidRPr="002006E8">
        <w:rPr>
          <w:b/>
          <w:bCs/>
        </w:rPr>
        <w:t>Normas Técnicas de Implementación que especifican ciertas tareas de los organismos de recaudación y ciertas funcionalidades del ESAP</w:t>
      </w:r>
    </w:p>
    <w:p w14:paraId="6027FCF8" w14:textId="77777777" w:rsidR="002006E8" w:rsidRPr="002006E8" w:rsidRDefault="002006E8" w:rsidP="002006E8">
      <w:pPr>
        <w:jc w:val="both"/>
      </w:pPr>
      <w:r w:rsidRPr="002006E8">
        <w:t>(841,21 KB - PDF)</w:t>
      </w:r>
    </w:p>
    <w:p w14:paraId="792092C7" w14:textId="77777777" w:rsidR="002006E8" w:rsidRPr="002006E8" w:rsidRDefault="00715CD6" w:rsidP="002006E8">
      <w:pPr>
        <w:jc w:val="both"/>
      </w:pPr>
      <w:hyperlink r:id="rId12" w:history="1">
        <w:r w:rsidR="002006E8" w:rsidRPr="002006E8">
          <w:rPr>
            <w:rStyle w:val="Hipervnculo"/>
          </w:rPr>
          <w:t>Descargar</w:t>
        </w:r>
      </w:hyperlink>
    </w:p>
    <w:p w14:paraId="71ABD094" w14:textId="77777777" w:rsidR="002006E8" w:rsidRPr="002006E8" w:rsidRDefault="002006E8" w:rsidP="002006E8">
      <w:pPr>
        <w:jc w:val="both"/>
        <w:rPr>
          <w:b/>
          <w:bCs/>
        </w:rPr>
      </w:pPr>
      <w:r w:rsidRPr="002006E8">
        <w:rPr>
          <w:b/>
          <w:bCs/>
        </w:rPr>
        <w:t>Contenido relacionado</w:t>
      </w:r>
    </w:p>
    <w:p w14:paraId="721EA153" w14:textId="77777777" w:rsidR="002006E8" w:rsidRDefault="002006E8" w:rsidP="002006E8">
      <w:pPr>
        <w:jc w:val="both"/>
      </w:pPr>
      <w:r w:rsidRPr="002006E8">
        <w:t>Proyecto de normas técnicas de ejecución</w:t>
      </w:r>
      <w:r>
        <w:t xml:space="preserve"> </w:t>
      </w:r>
    </w:p>
    <w:p w14:paraId="676DBA5F" w14:textId="482FF033" w:rsidR="002006E8" w:rsidRPr="002006E8" w:rsidRDefault="002006E8" w:rsidP="002006E8">
      <w:pPr>
        <w:jc w:val="both"/>
      </w:pPr>
      <w:r w:rsidRPr="002006E8">
        <w:t>En consulta</w:t>
      </w:r>
    </w:p>
    <w:p w14:paraId="7793AB0C" w14:textId="77777777" w:rsidR="002006E8" w:rsidRPr="002006E8" w:rsidRDefault="00715CD6" w:rsidP="002006E8">
      <w:pPr>
        <w:jc w:val="both"/>
        <w:rPr>
          <w:b/>
          <w:bCs/>
        </w:rPr>
      </w:pPr>
      <w:hyperlink r:id="rId13" w:anchor="activity-versions" w:history="1">
        <w:r w:rsidR="002006E8" w:rsidRPr="002006E8">
          <w:rPr>
            <w:rStyle w:val="Hipervnculo"/>
            <w:b/>
            <w:bCs/>
          </w:rPr>
          <w:t>Normas técnicas de aplicación sobre las funciones de los órganos de recaudación y determinadas funcionalidades del ESAP</w:t>
        </w:r>
      </w:hyperlink>
    </w:p>
    <w:p w14:paraId="7715D1B5" w14:textId="77777777" w:rsidR="002006E8" w:rsidRPr="002006E8" w:rsidRDefault="002006E8" w:rsidP="002006E8">
      <w:pPr>
        <w:jc w:val="both"/>
      </w:pPr>
      <w:r w:rsidRPr="002006E8">
        <w:t>Tema</w:t>
      </w:r>
    </w:p>
    <w:p w14:paraId="1B1B11C1" w14:textId="77777777" w:rsidR="002006E8" w:rsidRPr="002006E8" w:rsidRDefault="00715CD6" w:rsidP="002006E8">
      <w:pPr>
        <w:jc w:val="both"/>
        <w:rPr>
          <w:b/>
          <w:bCs/>
        </w:rPr>
      </w:pPr>
      <w:hyperlink r:id="rId14" w:history="1">
        <w:r w:rsidR="002006E8" w:rsidRPr="002006E8">
          <w:rPr>
            <w:rStyle w:val="Hipervnculo"/>
            <w:b/>
            <w:bCs/>
          </w:rPr>
          <w:t>Transparencia y Pilar 3</w:t>
        </w:r>
      </w:hyperlink>
    </w:p>
    <w:p w14:paraId="7884DC78" w14:textId="77777777" w:rsidR="002006E8" w:rsidRPr="002006E8" w:rsidRDefault="002006E8" w:rsidP="002006E8">
      <w:pPr>
        <w:jc w:val="both"/>
        <w:rPr>
          <w:b/>
          <w:bCs/>
        </w:rPr>
      </w:pPr>
      <w:r w:rsidRPr="002006E8">
        <w:rPr>
          <w:b/>
          <w:bCs/>
        </w:rPr>
        <w:t>Contactos de prensa</w:t>
      </w:r>
    </w:p>
    <w:p w14:paraId="1C0AF31D" w14:textId="77777777" w:rsidR="002006E8" w:rsidRPr="002006E8" w:rsidRDefault="002006E8" w:rsidP="00F91FEB">
      <w:pPr>
        <w:spacing w:after="0"/>
        <w:jc w:val="both"/>
      </w:pPr>
      <w:r w:rsidRPr="002006E8">
        <w:t>Franca Rosa Congiu</w:t>
      </w:r>
    </w:p>
    <w:p w14:paraId="6B1D5B67" w14:textId="77777777" w:rsidR="002006E8" w:rsidRPr="002006E8" w:rsidRDefault="00715CD6" w:rsidP="00F91FEB">
      <w:pPr>
        <w:numPr>
          <w:ilvl w:val="0"/>
          <w:numId w:val="2"/>
        </w:numPr>
        <w:spacing w:after="0"/>
        <w:jc w:val="both"/>
      </w:pPr>
      <w:hyperlink r:id="rId15" w:history="1">
        <w:r w:rsidR="002006E8" w:rsidRPr="002006E8">
          <w:rPr>
            <w:rStyle w:val="Hipervnculo"/>
          </w:rPr>
          <w:t>prensa@eba.europa.eu</w:t>
        </w:r>
      </w:hyperlink>
    </w:p>
    <w:p w14:paraId="60485D47" w14:textId="77777777" w:rsidR="002006E8" w:rsidRPr="002006E8" w:rsidRDefault="00715CD6" w:rsidP="00F91FEB">
      <w:pPr>
        <w:numPr>
          <w:ilvl w:val="0"/>
          <w:numId w:val="2"/>
        </w:numPr>
        <w:spacing w:after="0"/>
        <w:jc w:val="both"/>
      </w:pPr>
      <w:hyperlink r:id="rId16" w:history="1">
        <w:r w:rsidR="002006E8" w:rsidRPr="002006E8">
          <w:rPr>
            <w:rStyle w:val="Hipervnculo"/>
          </w:rPr>
          <w:t>+33 1 86 52 7052</w:t>
        </w:r>
      </w:hyperlink>
    </w:p>
    <w:p w14:paraId="532F4522" w14:textId="77777777" w:rsidR="002006E8" w:rsidRPr="002006E8" w:rsidRDefault="00715CD6" w:rsidP="002006E8">
      <w:pPr>
        <w:numPr>
          <w:ilvl w:val="0"/>
          <w:numId w:val="2"/>
        </w:numPr>
        <w:jc w:val="both"/>
      </w:pPr>
      <w:hyperlink r:id="rId17" w:tgtFrame="_blank" w:history="1">
        <w:r w:rsidR="002006E8" w:rsidRPr="002006E8">
          <w:rPr>
            <w:rStyle w:val="Hipervnculo"/>
          </w:rPr>
          <w:t>Sigue a @EBA_News</w:t>
        </w:r>
      </w:hyperlink>
    </w:p>
    <w:p w14:paraId="5625A86F" w14:textId="77777777" w:rsidR="002006E8" w:rsidRDefault="002006E8" w:rsidP="002006E8">
      <w:pPr>
        <w:jc w:val="both"/>
      </w:pPr>
    </w:p>
    <w:sectPr w:rsidR="002006E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3773A"/>
    <w:multiLevelType w:val="multilevel"/>
    <w:tmpl w:val="82A2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4754FF"/>
    <w:multiLevelType w:val="multilevel"/>
    <w:tmpl w:val="0248D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6E8"/>
    <w:rsid w:val="002006E8"/>
    <w:rsid w:val="0057581D"/>
    <w:rsid w:val="00715CD6"/>
    <w:rsid w:val="007D06B7"/>
    <w:rsid w:val="00872F9D"/>
    <w:rsid w:val="00891D77"/>
    <w:rsid w:val="00F91F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1A4F7"/>
  <w15:chartTrackingRefBased/>
  <w15:docId w15:val="{1E2D3421-83E1-41CC-AF0E-5B85C180A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006E8"/>
    <w:rPr>
      <w:color w:val="0563C1" w:themeColor="hyperlink"/>
      <w:u w:val="single"/>
    </w:rPr>
  </w:style>
  <w:style w:type="character" w:styleId="Mencinsinresolver">
    <w:name w:val="Unresolved Mention"/>
    <w:basedOn w:val="Fuentedeprrafopredeter"/>
    <w:uiPriority w:val="99"/>
    <w:semiHidden/>
    <w:unhideWhenUsed/>
    <w:rsid w:val="002006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958812">
      <w:bodyDiv w:val="1"/>
      <w:marLeft w:val="0"/>
      <w:marRight w:val="0"/>
      <w:marTop w:val="0"/>
      <w:marBottom w:val="0"/>
      <w:divBdr>
        <w:top w:val="none" w:sz="0" w:space="0" w:color="auto"/>
        <w:left w:val="none" w:sz="0" w:space="0" w:color="auto"/>
        <w:bottom w:val="none" w:sz="0" w:space="0" w:color="auto"/>
        <w:right w:val="none" w:sz="0" w:space="0" w:color="auto"/>
      </w:divBdr>
      <w:divsChild>
        <w:div w:id="395398471">
          <w:marLeft w:val="0"/>
          <w:marRight w:val="0"/>
          <w:marTop w:val="0"/>
          <w:marBottom w:val="0"/>
          <w:divBdr>
            <w:top w:val="none" w:sz="0" w:space="0" w:color="auto"/>
            <w:left w:val="none" w:sz="0" w:space="0" w:color="auto"/>
            <w:bottom w:val="none" w:sz="0" w:space="0" w:color="auto"/>
            <w:right w:val="none" w:sz="0" w:space="0" w:color="auto"/>
          </w:divBdr>
          <w:divsChild>
            <w:div w:id="2041129307">
              <w:marLeft w:val="0"/>
              <w:marRight w:val="0"/>
              <w:marTop w:val="0"/>
              <w:marBottom w:val="0"/>
              <w:divBdr>
                <w:top w:val="none" w:sz="0" w:space="0" w:color="auto"/>
                <w:left w:val="none" w:sz="0" w:space="0" w:color="auto"/>
                <w:bottom w:val="none" w:sz="0" w:space="0" w:color="auto"/>
                <w:right w:val="none" w:sz="0" w:space="0" w:color="auto"/>
              </w:divBdr>
              <w:divsChild>
                <w:div w:id="268440792">
                  <w:marLeft w:val="0"/>
                  <w:marRight w:val="0"/>
                  <w:marTop w:val="0"/>
                  <w:marBottom w:val="0"/>
                  <w:divBdr>
                    <w:top w:val="none" w:sz="0" w:space="0" w:color="auto"/>
                    <w:left w:val="none" w:sz="0" w:space="0" w:color="auto"/>
                    <w:bottom w:val="none" w:sz="0" w:space="0" w:color="auto"/>
                    <w:right w:val="none" w:sz="0" w:space="0" w:color="auto"/>
                  </w:divBdr>
                </w:div>
                <w:div w:id="710417379">
                  <w:marLeft w:val="0"/>
                  <w:marRight w:val="0"/>
                  <w:marTop w:val="0"/>
                  <w:marBottom w:val="0"/>
                  <w:divBdr>
                    <w:top w:val="none" w:sz="0" w:space="0" w:color="auto"/>
                    <w:left w:val="none" w:sz="0" w:space="0" w:color="auto"/>
                    <w:bottom w:val="none" w:sz="0" w:space="0" w:color="auto"/>
                    <w:right w:val="none" w:sz="0" w:space="0" w:color="auto"/>
                  </w:divBdr>
                  <w:divsChild>
                    <w:div w:id="1949698140">
                      <w:marLeft w:val="0"/>
                      <w:marRight w:val="0"/>
                      <w:marTop w:val="0"/>
                      <w:marBottom w:val="0"/>
                      <w:divBdr>
                        <w:top w:val="none" w:sz="0" w:space="0" w:color="auto"/>
                        <w:left w:val="none" w:sz="0" w:space="0" w:color="auto"/>
                        <w:bottom w:val="none" w:sz="0" w:space="0" w:color="auto"/>
                        <w:right w:val="none" w:sz="0" w:space="0" w:color="auto"/>
                      </w:divBdr>
                      <w:divsChild>
                        <w:div w:id="728308914">
                          <w:marLeft w:val="0"/>
                          <w:marRight w:val="0"/>
                          <w:marTop w:val="0"/>
                          <w:marBottom w:val="0"/>
                          <w:divBdr>
                            <w:top w:val="none" w:sz="0" w:space="0" w:color="auto"/>
                            <w:left w:val="none" w:sz="0" w:space="0" w:color="auto"/>
                            <w:bottom w:val="none" w:sz="0" w:space="0" w:color="auto"/>
                            <w:right w:val="none" w:sz="0" w:space="0" w:color="auto"/>
                          </w:divBdr>
                        </w:div>
                        <w:div w:id="208287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407">
                  <w:marLeft w:val="0"/>
                  <w:marRight w:val="0"/>
                  <w:marTop w:val="0"/>
                  <w:marBottom w:val="0"/>
                  <w:divBdr>
                    <w:top w:val="none" w:sz="0" w:space="0" w:color="auto"/>
                    <w:left w:val="none" w:sz="0" w:space="0" w:color="auto"/>
                    <w:bottom w:val="none" w:sz="0" w:space="0" w:color="auto"/>
                    <w:right w:val="none" w:sz="0" w:space="0" w:color="auto"/>
                  </w:divBdr>
                </w:div>
                <w:div w:id="103384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565566">
      <w:bodyDiv w:val="1"/>
      <w:marLeft w:val="0"/>
      <w:marRight w:val="0"/>
      <w:marTop w:val="0"/>
      <w:marBottom w:val="0"/>
      <w:divBdr>
        <w:top w:val="none" w:sz="0" w:space="0" w:color="auto"/>
        <w:left w:val="none" w:sz="0" w:space="0" w:color="auto"/>
        <w:bottom w:val="none" w:sz="0" w:space="0" w:color="auto"/>
        <w:right w:val="none" w:sz="0" w:space="0" w:color="auto"/>
      </w:divBdr>
      <w:divsChild>
        <w:div w:id="1708680816">
          <w:marLeft w:val="0"/>
          <w:marRight w:val="0"/>
          <w:marTop w:val="0"/>
          <w:marBottom w:val="0"/>
          <w:divBdr>
            <w:top w:val="none" w:sz="0" w:space="0" w:color="auto"/>
            <w:left w:val="none" w:sz="0" w:space="0" w:color="auto"/>
            <w:bottom w:val="none" w:sz="0" w:space="0" w:color="auto"/>
            <w:right w:val="none" w:sz="0" w:space="0" w:color="auto"/>
          </w:divBdr>
        </w:div>
        <w:div w:id="1943147263">
          <w:marLeft w:val="0"/>
          <w:marRight w:val="0"/>
          <w:marTop w:val="300"/>
          <w:marBottom w:val="300"/>
          <w:divBdr>
            <w:top w:val="none" w:sz="0" w:space="0" w:color="auto"/>
            <w:left w:val="none" w:sz="0" w:space="0" w:color="auto"/>
            <w:bottom w:val="none" w:sz="0" w:space="0" w:color="auto"/>
            <w:right w:val="none" w:sz="0" w:space="0" w:color="auto"/>
          </w:divBdr>
        </w:div>
        <w:div w:id="593710984">
          <w:marLeft w:val="0"/>
          <w:marRight w:val="0"/>
          <w:marTop w:val="600"/>
          <w:marBottom w:val="0"/>
          <w:divBdr>
            <w:top w:val="none" w:sz="0" w:space="0" w:color="auto"/>
            <w:left w:val="none" w:sz="0" w:space="0" w:color="auto"/>
            <w:bottom w:val="none" w:sz="0" w:space="0" w:color="auto"/>
            <w:right w:val="none" w:sz="0" w:space="0" w:color="auto"/>
          </w:divBdr>
          <w:divsChild>
            <w:div w:id="1366636142">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brl.org/tag/esap/" TargetMode="External"/><Relationship Id="rId13" Type="http://schemas.openxmlformats.org/officeDocument/2006/relationships/hyperlink" Target="https://www.eba.europa.eu/activities/single-rulebook/regulatory-activities/transparency-and-pillar-3/implementing-technical-0?version=202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ba.europa.eu/publications-and-media/press-releases/esas-finalise-rules-facilitate-access-financial-and-sustainability-information-esap" TargetMode="External"/><Relationship Id="rId12" Type="http://schemas.openxmlformats.org/officeDocument/2006/relationships/hyperlink" Target="https://www.eba.europa.eu/sites/default/files/2024-10/a387c76a-f4c0-4cd9-80e6-c4c176b4a81a/JC%202024%2074%20Final%20Report%20on%20JC%20ITS%20on%20ESAP.pdf" TargetMode="External"/><Relationship Id="rId17" Type="http://schemas.openxmlformats.org/officeDocument/2006/relationships/hyperlink" Target="https://twitter.com/EBA_News" TargetMode="External"/><Relationship Id="rId2" Type="http://schemas.openxmlformats.org/officeDocument/2006/relationships/styles" Target="styles.xml"/><Relationship Id="rId16" Type="http://schemas.openxmlformats.org/officeDocument/2006/relationships/hyperlink" Target="tel:+33186527052" TargetMode="External"/><Relationship Id="rId1" Type="http://schemas.openxmlformats.org/officeDocument/2006/relationships/numbering" Target="numbering.xml"/><Relationship Id="rId6" Type="http://schemas.openxmlformats.org/officeDocument/2006/relationships/hyperlink" Target="https://www.xbrl.org/news/esas-release-final-standards-for-esap-europes-central-data-hub/" TargetMode="External"/><Relationship Id="rId11" Type="http://schemas.openxmlformats.org/officeDocument/2006/relationships/image" Target="media/image2.png"/><Relationship Id="rId5" Type="http://schemas.openxmlformats.org/officeDocument/2006/relationships/image" Target="media/image1.jpeg"/><Relationship Id="rId15" Type="http://schemas.openxmlformats.org/officeDocument/2006/relationships/hyperlink" Target="mailto:press@eba.europa.eu" TargetMode="External"/><Relationship Id="rId10" Type="http://schemas.openxmlformats.org/officeDocument/2006/relationships/hyperlink" Target="https://www.xbrl.org/tag/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xbrl.org/tag/esas/" TargetMode="External"/><Relationship Id="rId14" Type="http://schemas.openxmlformats.org/officeDocument/2006/relationships/hyperlink" Target="https://www.eba.europa.eu/regulation-and-policy/transparency-and-pillar-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1042</Words>
  <Characters>5734</Characters>
  <Application>Microsoft Office Word</Application>
  <DocSecurity>0</DocSecurity>
  <Lines>47</Lines>
  <Paragraphs>13</Paragraphs>
  <ScaleCrop>false</ScaleCrop>
  <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7</cp:revision>
  <dcterms:created xsi:type="dcterms:W3CDTF">2024-11-05T04:20:00Z</dcterms:created>
  <dcterms:modified xsi:type="dcterms:W3CDTF">2024-11-12T02:33:00Z</dcterms:modified>
</cp:coreProperties>
</file>