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C304" w14:textId="6091C470" w:rsidR="006A4A76" w:rsidRPr="0097024D" w:rsidRDefault="006A4A76" w:rsidP="006A4A76">
      <w:pPr>
        <w:jc w:val="both"/>
        <w:rPr>
          <w:rFonts w:ascii="Abadi" w:hAnsi="Abadi"/>
          <w:sz w:val="28"/>
          <w:szCs w:val="28"/>
        </w:rPr>
      </w:pPr>
      <w:r w:rsidRPr="006A4A76">
        <w:rPr>
          <w:rFonts w:ascii="Abadi" w:hAnsi="Abadi"/>
          <w:sz w:val="28"/>
          <w:szCs w:val="28"/>
        </w:rPr>
        <w:t>Aportando claridad a lo "justo" en la Transición Justa del Carbón</w:t>
      </w:r>
    </w:p>
    <w:p w14:paraId="062D5755" w14:textId="77777777" w:rsidR="006A4A76" w:rsidRPr="006A4A76" w:rsidRDefault="00EE5193" w:rsidP="006A4A76">
      <w:pPr>
        <w:numPr>
          <w:ilvl w:val="0"/>
          <w:numId w:val="1"/>
        </w:numPr>
        <w:spacing w:after="0"/>
        <w:jc w:val="both"/>
        <w:rPr>
          <w:b/>
          <w:bCs/>
        </w:rPr>
      </w:pPr>
      <w:hyperlink r:id="rId5" w:history="1">
        <w:r w:rsidR="006A4A76" w:rsidRPr="006A4A76">
          <w:rPr>
            <w:rStyle w:val="Hipervnculo"/>
            <w:b/>
            <w:bCs/>
          </w:rPr>
          <w:t>Farah Imrana Hussain</w:t>
        </w:r>
      </w:hyperlink>
    </w:p>
    <w:p w14:paraId="147C1A7E" w14:textId="77777777" w:rsidR="006A4A76" w:rsidRPr="006A4A76" w:rsidRDefault="00EE5193" w:rsidP="006A4A76">
      <w:pPr>
        <w:numPr>
          <w:ilvl w:val="0"/>
          <w:numId w:val="1"/>
        </w:numPr>
        <w:spacing w:after="0"/>
        <w:jc w:val="both"/>
        <w:rPr>
          <w:b/>
          <w:bCs/>
        </w:rPr>
      </w:pPr>
      <w:hyperlink r:id="rId6" w:history="1">
        <w:r w:rsidR="006A4A76" w:rsidRPr="006A4A76">
          <w:rPr>
            <w:rStyle w:val="Hipervnculo"/>
            <w:b/>
            <w:bCs/>
          </w:rPr>
          <w:t>Justine Sylvester</w:t>
        </w:r>
      </w:hyperlink>
    </w:p>
    <w:p w14:paraId="7811199A" w14:textId="77777777" w:rsidR="006A4A76" w:rsidRPr="006A4A76" w:rsidRDefault="00EE5193" w:rsidP="006A4A76">
      <w:pPr>
        <w:numPr>
          <w:ilvl w:val="0"/>
          <w:numId w:val="1"/>
        </w:numPr>
        <w:jc w:val="both"/>
        <w:rPr>
          <w:b/>
          <w:bCs/>
        </w:rPr>
      </w:pPr>
      <w:hyperlink r:id="rId7" w:history="1">
        <w:r w:rsidR="006A4A76" w:rsidRPr="006A4A76">
          <w:rPr>
            <w:rStyle w:val="Hipervnculo"/>
            <w:b/>
            <w:bCs/>
          </w:rPr>
          <w:t>Ventajas de Rachel</w:t>
        </w:r>
      </w:hyperlink>
    </w:p>
    <w:p w14:paraId="4310343D" w14:textId="77777777" w:rsidR="006A4A76" w:rsidRPr="006A4A76" w:rsidRDefault="006A4A76" w:rsidP="006A4A76">
      <w:pPr>
        <w:jc w:val="both"/>
        <w:rPr>
          <w:b/>
          <w:bCs/>
        </w:rPr>
      </w:pPr>
      <w:r w:rsidRPr="006A4A76">
        <w:rPr>
          <w:b/>
          <w:bCs/>
        </w:rPr>
        <w:t>12 de noviembre de 2024</w:t>
      </w:r>
    </w:p>
    <w:p w14:paraId="1EACA710" w14:textId="2AB52F6C" w:rsidR="006A4A76" w:rsidRDefault="0097024D" w:rsidP="0097024D">
      <w:pPr>
        <w:spacing w:after="0"/>
        <w:jc w:val="both"/>
      </w:pPr>
      <w:r w:rsidRPr="0097024D">
        <w:rPr>
          <w:noProof/>
        </w:rPr>
        <w:drawing>
          <wp:inline distT="0" distB="0" distL="0" distR="0" wp14:anchorId="03E909B8" wp14:editId="17E1C1CF">
            <wp:extent cx="5612130" cy="24568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456815"/>
                    </a:xfrm>
                    <a:prstGeom prst="rect">
                      <a:avLst/>
                    </a:prstGeom>
                  </pic:spPr>
                </pic:pic>
              </a:graphicData>
            </a:graphic>
          </wp:inline>
        </w:drawing>
      </w:r>
    </w:p>
    <w:p w14:paraId="4E5A813E" w14:textId="31803637" w:rsidR="006A4A76" w:rsidRPr="006A4A76" w:rsidRDefault="006A4A76" w:rsidP="006A4A76">
      <w:pPr>
        <w:jc w:val="both"/>
      </w:pPr>
      <w:r w:rsidRPr="006A4A76">
        <w:t>Un trabajador en una mina de carbón.</w:t>
      </w:r>
    </w:p>
    <w:p w14:paraId="011D038A" w14:textId="77777777" w:rsidR="006A4A76" w:rsidRPr="006A4A76" w:rsidRDefault="006A4A76" w:rsidP="006A4A76">
      <w:pPr>
        <w:jc w:val="both"/>
      </w:pPr>
      <w:r w:rsidRPr="006A4A76">
        <w:rPr>
          <w:b/>
          <w:bCs/>
        </w:rPr>
        <w:t>Apoyar a los países en su transición hacia la energía limpia es fundamental para la misión del Banco Mundial de poner fin a la pobreza e impulsar la prosperidad compartida en un planeta habitable.</w:t>
      </w:r>
      <w:r w:rsidRPr="006A4A76">
        <w:t> </w:t>
      </w:r>
      <w:hyperlink r:id="rId9" w:history="1">
        <w:r w:rsidRPr="006A4A76">
          <w:rPr>
            <w:rStyle w:val="Hipervnculo"/>
          </w:rPr>
          <w:t>Una transición bien gestionada, que incluya el retiro de las centrales eléctricas de carbón y un aumento masivo de las energías limpias, es esencial para alcanzar los Objetivos de Desarrollo Sostenible y las metas del Acuerdo de París.</w:t>
        </w:r>
      </w:hyperlink>
    </w:p>
    <w:p w14:paraId="511D7AB5" w14:textId="77777777" w:rsidR="006A4A76" w:rsidRPr="006A4A76" w:rsidRDefault="006A4A76" w:rsidP="006A4A76">
      <w:pPr>
        <w:jc w:val="both"/>
      </w:pPr>
      <w:r w:rsidRPr="006A4A76">
        <w:t>Sin embargo, el desafío para los tomadores de decisiones es garantizar que esta transición sea "justa", es decir, que la transición priorice tanto el medio ambiente como las necesidades de los trabajadores y las comunidades afectadas por el alejamiento del carbón. Los resultados sociales positivos de una transición justa hacia el carbón incluyen la creación de empleo y el reciclaje profesional, el impulso de la seguridad energética y la promoción de la diversificación económica para un futuro posterior al carbón.</w:t>
      </w:r>
    </w:p>
    <w:p w14:paraId="72F946B9" w14:textId="77777777" w:rsidR="006A4A76" w:rsidRPr="006A4A76" w:rsidRDefault="006A4A76" w:rsidP="006A4A76">
      <w:pPr>
        <w:jc w:val="both"/>
      </w:pPr>
      <w:r w:rsidRPr="006A4A76">
        <w:t>Hoy en día, la mayoría de los instrumentos financieros sostenibles y verdes, incluidas las taxonomías, se centran principalmente en las dimensiones ambientales de la transición y tienden a descuidar los aspectos sociales. Estos esfuerzos por incorporar mejor ese segundo componente crítico de una transición justa se ven obstaculizados por una comprensión poco clara de las diversas dimensiones que pueden definir una transición "justa" (ambientales, sociales y de gobernanza), así como de los tipos de proyectos y actividades que podrían financiarse para lograr los objetivos deseados. Además de esta complejidad, existen muchas definiciones de "transición justa".</w:t>
      </w:r>
    </w:p>
    <w:p w14:paraId="601B0BC2" w14:textId="25921AF0" w:rsidR="006A4A76" w:rsidRPr="006A4A76" w:rsidRDefault="006A4A76" w:rsidP="006A4A76">
      <w:pPr>
        <w:jc w:val="both"/>
      </w:pPr>
      <w:r w:rsidRPr="006A4A76">
        <w:t>Para abordar estas necesidades,</w:t>
      </w:r>
      <w:r w:rsidR="0097024D">
        <w:t xml:space="preserve"> </w:t>
      </w:r>
      <w:hyperlink r:id="rId10" w:history="1">
        <w:r w:rsidRPr="006A4A76">
          <w:rPr>
            <w:rStyle w:val="Hipervnculo"/>
          </w:rPr>
          <w:t xml:space="preserve">el Programa de Asesoría en Finanzas Sostenibles y ESG del Banco Mundial y la Unidad Mundial de Energía e Industrias Extractivas han elaborado una lista de 57 actividades económicas elegibles para orientar las inversiones que apoyen una transición justa </w:t>
        </w:r>
        <w:r w:rsidRPr="006A4A76">
          <w:rPr>
            <w:rStyle w:val="Hipervnculo"/>
          </w:rPr>
          <w:lastRenderedPageBreak/>
          <w:t>desde el carbón.</w:t>
        </w:r>
      </w:hyperlink>
      <w:r w:rsidR="0097024D">
        <w:t xml:space="preserve"> </w:t>
      </w:r>
      <w:r w:rsidRPr="006A4A76">
        <w:t>Esta taxonomía innovadora ha suscitado un gran interés entre las partes interesadas y será debatida por el Tesoro del Banco Mundial durante la COP29 en Azerbaiyán, incluso en las mesas redondas del Diálogo de Alto Nivel sobre la Catalización de la Inversión para una Transición Justa, organizado conjuntamente por la Presidencia de la COP29, y en un evento titulado "Financiación de lo 'justo' en una transición justa", organizado por Boston Consulting Group. El mismo día, la Taxonomía de Transición Justa se publicará en la revista Sustainable Finance Insight Journal de</w:t>
      </w:r>
      <w:r w:rsidR="0097024D">
        <w:t xml:space="preserve"> </w:t>
      </w:r>
      <w:hyperlink r:id="rId11" w:history="1">
        <w:r w:rsidRPr="006A4A76">
          <w:rPr>
            <w:rStyle w:val="Hipervnculo"/>
          </w:rPr>
          <w:t>IEMA</w:t>
        </w:r>
      </w:hyperlink>
      <w:r w:rsidRPr="006A4A76">
        <w:t>: Número especial sobre la financiación de la transición justa (vol.3).</w:t>
      </w:r>
    </w:p>
    <w:p w14:paraId="089F08B1" w14:textId="1AB2AD4A" w:rsidR="006A4A76" w:rsidRPr="006A4A76" w:rsidRDefault="006A4A76" w:rsidP="006A4A76">
      <w:pPr>
        <w:jc w:val="both"/>
      </w:pPr>
      <w:r w:rsidRPr="006A4A76">
        <w:t>Se trata de la primera taxonomía de este tipo, y es oportuna, ya que los inversores expresan un interés considerable en apoyar la agenda de Transición Justa, incluso a través </w:t>
      </w:r>
      <w:hyperlink r:id="rId12" w:history="1">
        <w:r w:rsidRPr="006A4A76">
          <w:rPr>
            <w:rStyle w:val="Hipervnculo"/>
          </w:rPr>
          <w:t>de nuevos instrumentos de financiación como los bonos verdes, sociales y vinculados a la sostenibilidad, los préstamos</w:t>
        </w:r>
      </w:hyperlink>
      <w:r w:rsidRPr="006A4A76">
        <w:t>, las</w:t>
      </w:r>
      <w:r w:rsidR="0097024D">
        <w:t xml:space="preserve"> </w:t>
      </w:r>
      <w:hyperlink r:id="rId13" w:history="1">
        <w:r w:rsidRPr="006A4A76">
          <w:rPr>
            <w:rStyle w:val="Hipervnculo"/>
          </w:rPr>
          <w:t>taxonomías de capital, las finanzas verdes y sostenibles</w:t>
        </w:r>
      </w:hyperlink>
      <w:r w:rsidRPr="006A4A76">
        <w:t>, la presentación de informes de impacto y los requisitos de divulgación. Recientemente, 161 inversores que representaban 10,2 billones de dólares en activos</w:t>
      </w:r>
      <w:r w:rsidR="0097024D">
        <w:t xml:space="preserve"> </w:t>
      </w:r>
      <w:hyperlink r:id="rId14" w:history="1">
        <w:r w:rsidRPr="006A4A76">
          <w:rPr>
            <w:rStyle w:val="Hipervnculo"/>
          </w:rPr>
          <w:t>prometieron</w:t>
        </w:r>
      </w:hyperlink>
      <w:r w:rsidRPr="006A4A76">
        <w:t>"... tomar medidas para apoyar la Transición Justa mediante la integración de la fuerza laboral y la dimensión social en nuestras prácticas climáticas". Es importante destacar que la taxonomía es una herramienta para dirigir más financiación hacia los aspectos sociales de los esfuerzos de transición justa.</w:t>
      </w:r>
    </w:p>
    <w:p w14:paraId="581D2167" w14:textId="06E6F8D1" w:rsidR="006A4A76" w:rsidRPr="006A4A76" w:rsidRDefault="006A4A76" w:rsidP="006A4A76">
      <w:pPr>
        <w:jc w:val="both"/>
      </w:pPr>
      <w:r w:rsidRPr="006A4A76">
        <w:t>La</w:t>
      </w:r>
      <w:r w:rsidR="0097024D">
        <w:t xml:space="preserve"> </w:t>
      </w:r>
      <w:hyperlink r:id="rId15" w:history="1">
        <w:r w:rsidRPr="006A4A76">
          <w:rPr>
            <w:rStyle w:val="Hipervnculo"/>
          </w:rPr>
          <w:t>Taxonomía de Transición Justa</w:t>
        </w:r>
      </w:hyperlink>
      <w:r w:rsidR="0097024D">
        <w:t xml:space="preserve"> </w:t>
      </w:r>
      <w:r w:rsidRPr="006A4A76">
        <w:t>se estructura en torno a los tres pilares de la matriz de Regiones Carboníferas en Transición del Banco Mundial: (1) gobernanza, (2) personas y comunidades y (3) reutilización de tierras y activos. Cada actividad de la taxonomía contiene un conjunto de información (por ejemplo, criterios de No Causar Daño Significativo, salvaguardas sociales y métricas) que los responsables de la toma de decisiones necesitarían para priorizar e implementar eficazmente las actividades de transición en el sector del carbón.</w:t>
      </w:r>
    </w:p>
    <w:p w14:paraId="7097419C" w14:textId="77777777" w:rsidR="006A4A76" w:rsidRPr="006A4A76" w:rsidRDefault="006A4A76" w:rsidP="006A4A76">
      <w:pPr>
        <w:jc w:val="both"/>
      </w:pPr>
      <w:r w:rsidRPr="006A4A76">
        <w:t>Los bancos públicos y privados, las empresas, los ministerios de finanzas, las empresas de servicios eléctricos, los municipios y las regiones pueden utilizar la Taxonomía de Transición Justa para identificar las actividades elegibles, lo que les permite emitir un bono o préstamo con el tema de la Transición Justa diseñado para movilizar capital del sector privado.</w:t>
      </w:r>
    </w:p>
    <w:p w14:paraId="75BCEBAA" w14:textId="0D4E05E1" w:rsidR="006A4A76" w:rsidRPr="006A4A76" w:rsidRDefault="006A4A76" w:rsidP="006A4A76">
      <w:pPr>
        <w:jc w:val="both"/>
      </w:pPr>
      <w:r w:rsidRPr="006A4A76">
        <w:t>La</w:t>
      </w:r>
      <w:r w:rsidR="0097024D">
        <w:t xml:space="preserve"> </w:t>
      </w:r>
      <w:r w:rsidRPr="006A4A76">
        <w:rPr>
          <w:b/>
          <w:bCs/>
        </w:rPr>
        <w:t>Taxonomía de Transición Justa</w:t>
      </w:r>
      <w:r w:rsidR="0097024D">
        <w:t xml:space="preserve"> </w:t>
      </w:r>
      <w:r w:rsidRPr="006A4A76">
        <w:t>del Banco Mundial es solo el ejemplo más reciente de una nueva herramienta que puede ayudar a canalizar el financiamiento sostenible hacia los esfuerzos de transición justa. Si bien actualmente se centra en el sector del carbón, la taxonomía podría evolucionar para incluir otros sectores afectados por la transición, como el transporte, la agricultura, la manufactura, la pesca, la silvicultura, el turismo y la gestión de residuos.</w:t>
      </w:r>
    </w:p>
    <w:p w14:paraId="6BA9CB78" w14:textId="77777777" w:rsidR="006A4A76" w:rsidRPr="006A4A76" w:rsidRDefault="006A4A76" w:rsidP="006A4A76">
      <w:pPr>
        <w:jc w:val="both"/>
      </w:pPr>
      <w:r w:rsidRPr="006A4A76">
        <w:t>La transición a la energía limpia será un proceso complejo de varias décadas, que requerirá la movilización de vastos recursos financieros. Esperamos que nuestra nueva taxonomía ayude a los inversores a acelerar el progreso y canalizar más financiación hacia los aspectos "justos" de la transición justa.</w:t>
      </w:r>
    </w:p>
    <w:p w14:paraId="6BEFBE64" w14:textId="77777777" w:rsidR="006A4A76" w:rsidRPr="006A4A76" w:rsidRDefault="006A4A76" w:rsidP="006A4A76">
      <w:pPr>
        <w:jc w:val="both"/>
      </w:pPr>
      <w:r w:rsidRPr="006A4A76">
        <w:rPr>
          <w:b/>
          <w:bCs/>
        </w:rPr>
        <w:t>Recursos:</w:t>
      </w:r>
    </w:p>
    <w:p w14:paraId="6767EFA5" w14:textId="77777777" w:rsidR="006A4A76" w:rsidRPr="006A4A76" w:rsidRDefault="00EE5193" w:rsidP="006A4A76">
      <w:pPr>
        <w:jc w:val="both"/>
      </w:pPr>
      <w:hyperlink r:id="rId16" w:history="1">
        <w:r w:rsidR="006A4A76" w:rsidRPr="006A4A76">
          <w:rPr>
            <w:rStyle w:val="Hipervnculo"/>
          </w:rPr>
          <w:t>Gestión del cierre de minas de carbón: lograr una transición justa para todos</w:t>
        </w:r>
      </w:hyperlink>
    </w:p>
    <w:p w14:paraId="19618DBF" w14:textId="77777777" w:rsidR="006A4A76" w:rsidRPr="006A4A76" w:rsidRDefault="00EE5193" w:rsidP="006A4A76">
      <w:pPr>
        <w:jc w:val="both"/>
      </w:pPr>
      <w:hyperlink r:id="rId17" w:history="1">
        <w:r w:rsidR="006A4A76" w:rsidRPr="006A4A76">
          <w:rPr>
            <w:rStyle w:val="Hipervnculo"/>
          </w:rPr>
          <w:t>Desarrollo de una taxonomía verde nacional: Guía del Banco Mundial</w:t>
        </w:r>
      </w:hyperlink>
    </w:p>
    <w:p w14:paraId="4E879514" w14:textId="77777777" w:rsidR="006A4A76" w:rsidRPr="006A4A76" w:rsidRDefault="00EE5193" w:rsidP="006A4A76">
      <w:pPr>
        <w:jc w:val="both"/>
      </w:pPr>
      <w:r>
        <w:pict w14:anchorId="5AD35940">
          <v:rect id="_x0000_i1025" style="width:630pt;height:.75pt" o:hrpct="0" o:hralign="center" o:hrstd="t" o:hr="t" fillcolor="#a0a0a0" stroked="f"/>
        </w:pict>
      </w:r>
    </w:p>
    <w:p w14:paraId="0E674BB3" w14:textId="04DD06D5" w:rsidR="00D33843" w:rsidRDefault="00D33843" w:rsidP="006A4A76">
      <w:pPr>
        <w:jc w:val="both"/>
      </w:pPr>
    </w:p>
    <w:p w14:paraId="2E5BD1CD" w14:textId="2C72D452" w:rsidR="006A4A76" w:rsidRDefault="0097024D" w:rsidP="006A4A76">
      <w:pPr>
        <w:jc w:val="both"/>
      </w:pPr>
      <w:r w:rsidRPr="0097024D">
        <w:rPr>
          <w:noProof/>
        </w:rPr>
        <w:drawing>
          <wp:inline distT="0" distB="0" distL="0" distR="0" wp14:anchorId="4A21F300" wp14:editId="76942596">
            <wp:extent cx="5612130" cy="29476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947670"/>
                    </a:xfrm>
                    <a:prstGeom prst="rect">
                      <a:avLst/>
                    </a:prstGeom>
                  </pic:spPr>
                </pic:pic>
              </a:graphicData>
            </a:graphic>
          </wp:inline>
        </w:drawing>
      </w:r>
    </w:p>
    <w:p w14:paraId="4C4805C3" w14:textId="77777777" w:rsidR="0097024D" w:rsidRDefault="0097024D" w:rsidP="006A4A76">
      <w:pPr>
        <w:jc w:val="both"/>
      </w:pPr>
    </w:p>
    <w:p w14:paraId="2F0A30D9" w14:textId="77777777" w:rsidR="006A4A76" w:rsidRDefault="006A4A76" w:rsidP="006A4A76">
      <w:pPr>
        <w:jc w:val="both"/>
      </w:pPr>
    </w:p>
    <w:sectPr w:rsidR="006A4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D6E"/>
    <w:multiLevelType w:val="multilevel"/>
    <w:tmpl w:val="95E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01301"/>
    <w:multiLevelType w:val="multilevel"/>
    <w:tmpl w:val="9914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76"/>
    <w:rsid w:val="006A4A76"/>
    <w:rsid w:val="0097024D"/>
    <w:rsid w:val="00D33843"/>
    <w:rsid w:val="00EE51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5CC613"/>
  <w15:chartTrackingRefBased/>
  <w15:docId w15:val="{CFC8F9A4-01EE-452E-B91A-A72DED4F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4A76"/>
    <w:rPr>
      <w:color w:val="0563C1" w:themeColor="hyperlink"/>
      <w:u w:val="single"/>
    </w:rPr>
  </w:style>
  <w:style w:type="character" w:styleId="Mencinsinresolver">
    <w:name w:val="Unresolved Mention"/>
    <w:basedOn w:val="Fuentedeprrafopredeter"/>
    <w:uiPriority w:val="99"/>
    <w:semiHidden/>
    <w:unhideWhenUsed/>
    <w:rsid w:val="006A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61786">
      <w:bodyDiv w:val="1"/>
      <w:marLeft w:val="0"/>
      <w:marRight w:val="0"/>
      <w:marTop w:val="0"/>
      <w:marBottom w:val="0"/>
      <w:divBdr>
        <w:top w:val="none" w:sz="0" w:space="0" w:color="auto"/>
        <w:left w:val="none" w:sz="0" w:space="0" w:color="auto"/>
        <w:bottom w:val="none" w:sz="0" w:space="0" w:color="auto"/>
        <w:right w:val="none" w:sz="0" w:space="0" w:color="auto"/>
      </w:divBdr>
      <w:divsChild>
        <w:div w:id="2014648839">
          <w:marLeft w:val="0"/>
          <w:marRight w:val="0"/>
          <w:marTop w:val="0"/>
          <w:marBottom w:val="0"/>
          <w:divBdr>
            <w:top w:val="none" w:sz="0" w:space="0" w:color="auto"/>
            <w:left w:val="none" w:sz="0" w:space="0" w:color="auto"/>
            <w:bottom w:val="none" w:sz="0" w:space="0" w:color="auto"/>
            <w:right w:val="none" w:sz="0" w:space="0" w:color="auto"/>
          </w:divBdr>
          <w:divsChild>
            <w:div w:id="1533767197">
              <w:marLeft w:val="0"/>
              <w:marRight w:val="0"/>
              <w:marTop w:val="0"/>
              <w:marBottom w:val="0"/>
              <w:divBdr>
                <w:top w:val="none" w:sz="0" w:space="0" w:color="auto"/>
                <w:left w:val="none" w:sz="0" w:space="0" w:color="auto"/>
                <w:bottom w:val="none" w:sz="0" w:space="0" w:color="auto"/>
                <w:right w:val="none" w:sz="0" w:space="0" w:color="auto"/>
              </w:divBdr>
              <w:divsChild>
                <w:div w:id="948783849">
                  <w:marLeft w:val="0"/>
                  <w:marRight w:val="0"/>
                  <w:marTop w:val="0"/>
                  <w:marBottom w:val="0"/>
                  <w:divBdr>
                    <w:top w:val="none" w:sz="0" w:space="0" w:color="auto"/>
                    <w:left w:val="none" w:sz="0" w:space="0" w:color="auto"/>
                    <w:bottom w:val="none" w:sz="0" w:space="0" w:color="auto"/>
                    <w:right w:val="none" w:sz="0" w:space="0" w:color="auto"/>
                  </w:divBdr>
                  <w:divsChild>
                    <w:div w:id="1405251950">
                      <w:marLeft w:val="0"/>
                      <w:marRight w:val="0"/>
                      <w:marTop w:val="0"/>
                      <w:marBottom w:val="0"/>
                      <w:divBdr>
                        <w:top w:val="none" w:sz="0" w:space="0" w:color="auto"/>
                        <w:left w:val="none" w:sz="0" w:space="0" w:color="auto"/>
                        <w:bottom w:val="none" w:sz="0" w:space="0" w:color="auto"/>
                        <w:right w:val="none" w:sz="0" w:space="0" w:color="auto"/>
                      </w:divBdr>
                      <w:divsChild>
                        <w:div w:id="152067477">
                          <w:marLeft w:val="1425"/>
                          <w:marRight w:val="0"/>
                          <w:marTop w:val="0"/>
                          <w:marBottom w:val="0"/>
                          <w:divBdr>
                            <w:top w:val="none" w:sz="0" w:space="0" w:color="auto"/>
                            <w:left w:val="none" w:sz="0" w:space="0" w:color="auto"/>
                            <w:bottom w:val="none" w:sz="0" w:space="0" w:color="auto"/>
                            <w:right w:val="none" w:sz="0" w:space="0" w:color="auto"/>
                          </w:divBdr>
                          <w:divsChild>
                            <w:div w:id="2035032160">
                              <w:marLeft w:val="0"/>
                              <w:marRight w:val="0"/>
                              <w:marTop w:val="0"/>
                              <w:marBottom w:val="0"/>
                              <w:divBdr>
                                <w:top w:val="none" w:sz="0" w:space="0" w:color="auto"/>
                                <w:left w:val="none" w:sz="0" w:space="0" w:color="auto"/>
                                <w:bottom w:val="none" w:sz="0" w:space="0" w:color="auto"/>
                                <w:right w:val="none" w:sz="0" w:space="0" w:color="auto"/>
                              </w:divBdr>
                              <w:divsChild>
                                <w:div w:id="1850682678">
                                  <w:marLeft w:val="0"/>
                                  <w:marRight w:val="0"/>
                                  <w:marTop w:val="0"/>
                                  <w:marBottom w:val="0"/>
                                  <w:divBdr>
                                    <w:top w:val="none" w:sz="0" w:space="0" w:color="auto"/>
                                    <w:left w:val="none" w:sz="0" w:space="0" w:color="auto"/>
                                    <w:bottom w:val="none" w:sz="0" w:space="0" w:color="auto"/>
                                    <w:right w:val="none" w:sz="0" w:space="0" w:color="auto"/>
                                  </w:divBdr>
                                  <w:divsChild>
                                    <w:div w:id="31733310">
                                      <w:marLeft w:val="0"/>
                                      <w:marRight w:val="0"/>
                                      <w:marTop w:val="0"/>
                                      <w:marBottom w:val="0"/>
                                      <w:divBdr>
                                        <w:top w:val="none" w:sz="0" w:space="0" w:color="auto"/>
                                        <w:left w:val="none" w:sz="0" w:space="0" w:color="auto"/>
                                        <w:bottom w:val="none" w:sz="0" w:space="0" w:color="auto"/>
                                        <w:right w:val="none" w:sz="0" w:space="0" w:color="auto"/>
                                      </w:divBdr>
                                      <w:divsChild>
                                        <w:div w:id="1743484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1824498">
                              <w:marLeft w:val="0"/>
                              <w:marRight w:val="0"/>
                              <w:marTop w:val="0"/>
                              <w:marBottom w:val="0"/>
                              <w:divBdr>
                                <w:top w:val="none" w:sz="0" w:space="0" w:color="auto"/>
                                <w:left w:val="none" w:sz="0" w:space="0" w:color="auto"/>
                                <w:bottom w:val="none" w:sz="0" w:space="0" w:color="auto"/>
                                <w:right w:val="none" w:sz="0" w:space="0" w:color="auto"/>
                              </w:divBdr>
                              <w:divsChild>
                                <w:div w:id="535699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9768775">
                  <w:marLeft w:val="0"/>
                  <w:marRight w:val="0"/>
                  <w:marTop w:val="0"/>
                  <w:marBottom w:val="375"/>
                  <w:divBdr>
                    <w:top w:val="none" w:sz="0" w:space="0" w:color="auto"/>
                    <w:left w:val="none" w:sz="0" w:space="0" w:color="auto"/>
                    <w:bottom w:val="none" w:sz="0" w:space="0" w:color="auto"/>
                    <w:right w:val="none" w:sz="0" w:space="0" w:color="auto"/>
                  </w:divBdr>
                  <w:divsChild>
                    <w:div w:id="1387338973">
                      <w:marLeft w:val="0"/>
                      <w:marRight w:val="0"/>
                      <w:marTop w:val="0"/>
                      <w:marBottom w:val="0"/>
                      <w:divBdr>
                        <w:top w:val="none" w:sz="0" w:space="0" w:color="auto"/>
                        <w:left w:val="none" w:sz="0" w:space="0" w:color="auto"/>
                        <w:bottom w:val="none" w:sz="0" w:space="0" w:color="auto"/>
                        <w:right w:val="none" w:sz="0" w:space="0" w:color="auto"/>
                      </w:divBdr>
                      <w:divsChild>
                        <w:div w:id="741680379">
                          <w:marLeft w:val="0"/>
                          <w:marRight w:val="0"/>
                          <w:marTop w:val="0"/>
                          <w:marBottom w:val="0"/>
                          <w:divBdr>
                            <w:top w:val="none" w:sz="0" w:space="0" w:color="auto"/>
                            <w:left w:val="none" w:sz="0" w:space="0" w:color="auto"/>
                            <w:bottom w:val="none" w:sz="0" w:space="0" w:color="auto"/>
                            <w:right w:val="none" w:sz="0" w:space="0" w:color="auto"/>
                          </w:divBdr>
                          <w:divsChild>
                            <w:div w:id="2118745465">
                              <w:marLeft w:val="0"/>
                              <w:marRight w:val="0"/>
                              <w:marTop w:val="0"/>
                              <w:marBottom w:val="0"/>
                              <w:divBdr>
                                <w:top w:val="none" w:sz="0" w:space="0" w:color="auto"/>
                                <w:left w:val="none" w:sz="0" w:space="0" w:color="auto"/>
                                <w:bottom w:val="none" w:sz="0" w:space="0" w:color="auto"/>
                                <w:right w:val="none" w:sz="0" w:space="0" w:color="auto"/>
                              </w:divBdr>
                              <w:divsChild>
                                <w:div w:id="19788002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09958">
          <w:marLeft w:val="0"/>
          <w:marRight w:val="0"/>
          <w:marTop w:val="0"/>
          <w:marBottom w:val="0"/>
          <w:divBdr>
            <w:top w:val="none" w:sz="0" w:space="0" w:color="auto"/>
            <w:left w:val="none" w:sz="0" w:space="0" w:color="auto"/>
            <w:bottom w:val="none" w:sz="0" w:space="0" w:color="auto"/>
            <w:right w:val="none" w:sz="0" w:space="0" w:color="auto"/>
          </w:divBdr>
          <w:divsChild>
            <w:div w:id="667169936">
              <w:marLeft w:val="0"/>
              <w:marRight w:val="0"/>
              <w:marTop w:val="0"/>
              <w:marBottom w:val="0"/>
              <w:divBdr>
                <w:top w:val="none" w:sz="0" w:space="0" w:color="auto"/>
                <w:left w:val="none" w:sz="0" w:space="0" w:color="auto"/>
                <w:bottom w:val="none" w:sz="0" w:space="0" w:color="auto"/>
                <w:right w:val="none" w:sz="0" w:space="0" w:color="auto"/>
              </w:divBdr>
              <w:divsChild>
                <w:div w:id="1416586171">
                  <w:marLeft w:val="0"/>
                  <w:marRight w:val="0"/>
                  <w:marTop w:val="0"/>
                  <w:marBottom w:val="0"/>
                  <w:divBdr>
                    <w:top w:val="none" w:sz="0" w:space="0" w:color="auto"/>
                    <w:left w:val="none" w:sz="0" w:space="0" w:color="auto"/>
                    <w:bottom w:val="none" w:sz="0" w:space="0" w:color="auto"/>
                    <w:right w:val="none" w:sz="0" w:space="0" w:color="auto"/>
                  </w:divBdr>
                  <w:divsChild>
                    <w:div w:id="1990014058">
                      <w:marLeft w:val="0"/>
                      <w:marRight w:val="0"/>
                      <w:marTop w:val="0"/>
                      <w:marBottom w:val="0"/>
                      <w:divBdr>
                        <w:top w:val="none" w:sz="0" w:space="0" w:color="auto"/>
                        <w:left w:val="none" w:sz="0" w:space="0" w:color="auto"/>
                        <w:bottom w:val="none" w:sz="0" w:space="0" w:color="auto"/>
                        <w:right w:val="none" w:sz="0" w:space="0" w:color="auto"/>
                      </w:divBdr>
                      <w:divsChild>
                        <w:div w:id="1817455332">
                          <w:marLeft w:val="0"/>
                          <w:marRight w:val="0"/>
                          <w:marTop w:val="0"/>
                          <w:marBottom w:val="0"/>
                          <w:divBdr>
                            <w:top w:val="none" w:sz="0" w:space="0" w:color="auto"/>
                            <w:left w:val="none" w:sz="0" w:space="0" w:color="auto"/>
                            <w:bottom w:val="none" w:sz="0" w:space="0" w:color="auto"/>
                            <w:right w:val="none" w:sz="0" w:space="0" w:color="auto"/>
                          </w:divBdr>
                          <w:divsChild>
                            <w:div w:id="309214492">
                              <w:marLeft w:val="0"/>
                              <w:marRight w:val="0"/>
                              <w:marTop w:val="0"/>
                              <w:marBottom w:val="0"/>
                              <w:divBdr>
                                <w:top w:val="none" w:sz="0" w:space="0" w:color="auto"/>
                                <w:left w:val="none" w:sz="0" w:space="0" w:color="auto"/>
                                <w:bottom w:val="none" w:sz="0" w:space="0" w:color="auto"/>
                                <w:right w:val="none" w:sz="0" w:space="0" w:color="auto"/>
                              </w:divBdr>
                              <w:divsChild>
                                <w:div w:id="2120369547">
                                  <w:marLeft w:val="0"/>
                                  <w:marRight w:val="0"/>
                                  <w:marTop w:val="0"/>
                                  <w:marBottom w:val="0"/>
                                  <w:divBdr>
                                    <w:top w:val="none" w:sz="0" w:space="0" w:color="auto"/>
                                    <w:left w:val="none" w:sz="0" w:space="0" w:color="auto"/>
                                    <w:bottom w:val="none" w:sz="0" w:space="0" w:color="auto"/>
                                    <w:right w:val="none" w:sz="0" w:space="0" w:color="auto"/>
                                  </w:divBdr>
                                  <w:divsChild>
                                    <w:div w:id="48234659">
                                      <w:marLeft w:val="0"/>
                                      <w:marRight w:val="0"/>
                                      <w:marTop w:val="0"/>
                                      <w:marBottom w:val="0"/>
                                      <w:divBdr>
                                        <w:top w:val="none" w:sz="0" w:space="0" w:color="auto"/>
                                        <w:left w:val="none" w:sz="0" w:space="0" w:color="auto"/>
                                        <w:bottom w:val="none" w:sz="0" w:space="0" w:color="auto"/>
                                        <w:right w:val="none" w:sz="0" w:space="0" w:color="auto"/>
                                      </w:divBdr>
                                      <w:divsChild>
                                        <w:div w:id="1350137634">
                                          <w:marLeft w:val="0"/>
                                          <w:marRight w:val="0"/>
                                          <w:marTop w:val="0"/>
                                          <w:marBottom w:val="0"/>
                                          <w:divBdr>
                                            <w:top w:val="none" w:sz="0" w:space="0" w:color="auto"/>
                                            <w:left w:val="none" w:sz="0" w:space="0" w:color="auto"/>
                                            <w:bottom w:val="none" w:sz="0" w:space="0" w:color="auto"/>
                                            <w:right w:val="none" w:sz="0" w:space="0" w:color="auto"/>
                                          </w:divBdr>
                                          <w:divsChild>
                                            <w:div w:id="1032075894">
                                              <w:marLeft w:val="0"/>
                                              <w:marRight w:val="0"/>
                                              <w:marTop w:val="0"/>
                                              <w:marBottom w:val="375"/>
                                              <w:divBdr>
                                                <w:top w:val="none" w:sz="0" w:space="0" w:color="auto"/>
                                                <w:left w:val="none" w:sz="0" w:space="0" w:color="auto"/>
                                                <w:bottom w:val="none" w:sz="0" w:space="0" w:color="auto"/>
                                                <w:right w:val="none" w:sz="0" w:space="0" w:color="auto"/>
                                              </w:divBdr>
                                              <w:divsChild>
                                                <w:div w:id="351617540">
                                                  <w:marLeft w:val="0"/>
                                                  <w:marRight w:val="0"/>
                                                  <w:marTop w:val="0"/>
                                                  <w:marBottom w:val="0"/>
                                                  <w:divBdr>
                                                    <w:top w:val="none" w:sz="0" w:space="0" w:color="auto"/>
                                                    <w:left w:val="none" w:sz="0" w:space="0" w:color="auto"/>
                                                    <w:bottom w:val="none" w:sz="0" w:space="0" w:color="auto"/>
                                                    <w:right w:val="none" w:sz="0" w:space="0" w:color="auto"/>
                                                  </w:divBdr>
                                                </w:div>
                                              </w:divsChild>
                                            </w:div>
                                            <w:div w:id="80107771">
                                              <w:marLeft w:val="0"/>
                                              <w:marRight w:val="0"/>
                                              <w:marTop w:val="375"/>
                                              <w:marBottom w:val="375"/>
                                              <w:divBdr>
                                                <w:top w:val="none" w:sz="0" w:space="0" w:color="auto"/>
                                                <w:left w:val="none" w:sz="0" w:space="0" w:color="auto"/>
                                                <w:bottom w:val="none" w:sz="0" w:space="0" w:color="auto"/>
                                                <w:right w:val="none" w:sz="0" w:space="0" w:color="auto"/>
                                              </w:divBdr>
                                              <w:divsChild>
                                                <w:div w:id="17175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bfnetwork.org/wp-content/uploads/2024/05/SBFN-Toolkit_Sustainable-Finance-Taxonomies.pdf"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blogs.worldbank.org/en/team/r/rachel-perks" TargetMode="External"/><Relationship Id="rId12" Type="http://schemas.openxmlformats.org/officeDocument/2006/relationships/hyperlink" Target="https://thedocs.worldbank.org/en/doc/dacb969cc71f53abde2d2758f1cc13ed-0340012024/original/GSSS-Quarterly-Newsletter-Issue-No-8.pdf?_gl=1*be8wbs*_gcl_au*NzkwNDcxMjQxLjE3MjQ5MzY0Mjc." TargetMode="External"/><Relationship Id="rId17" Type="http://schemas.openxmlformats.org/officeDocument/2006/relationships/hyperlink" Target="https://documents.worldbank.org/en/publication/documents-reports/documentdetail/953011593410423487/developing-a-national-green-taxonomy-a-world-bank-guide" TargetMode="External"/><Relationship Id="rId2" Type="http://schemas.openxmlformats.org/officeDocument/2006/relationships/styles" Target="styles.xml"/><Relationship Id="rId16" Type="http://schemas.openxmlformats.org/officeDocument/2006/relationships/hyperlink" Target="https://documents.worldbank.org/en/publication/documents-reports/documentdetail/484541544643269894/managing-coal-mine-closure-achieving-a-just-transition-for-a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s.worldbank.org/en/team/j/justine-sylvester-l-land-tenure-specialist--energy-and-extractiv" TargetMode="External"/><Relationship Id="rId11" Type="http://schemas.openxmlformats.org/officeDocument/2006/relationships/hyperlink" Target="https://www.iema.net/" TargetMode="External"/><Relationship Id="rId5" Type="http://schemas.openxmlformats.org/officeDocument/2006/relationships/hyperlink" Target="https://blogs.worldbank.org/en/team/f/farah-imrana-hussain" TargetMode="External"/><Relationship Id="rId15" Type="http://schemas.openxmlformats.org/officeDocument/2006/relationships/hyperlink" Target="https://thedocs.worldbank.org/en/doc/4170363805a08d5eaca17fbd62db45d2-0340012024/world-bank-just-transition-taxonomy-2024" TargetMode="External"/><Relationship Id="rId10" Type="http://schemas.openxmlformats.org/officeDocument/2006/relationships/hyperlink" Target="https://twitt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 TargetMode="External"/><Relationship Id="rId14" Type="http://schemas.openxmlformats.org/officeDocument/2006/relationships/hyperlink" Target="https://www.unpri.org/download?ac=103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1025</Words>
  <Characters>5640</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2024-11-19T00:26:00Z</dcterms:created>
  <dcterms:modified xsi:type="dcterms:W3CDTF">2024-11-26T02:58:00Z</dcterms:modified>
</cp:coreProperties>
</file>