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CD28" w14:textId="7F39D598" w:rsidR="001958F0" w:rsidRPr="00664D5F" w:rsidRDefault="001958F0" w:rsidP="001958F0">
      <w:pPr>
        <w:jc w:val="both"/>
        <w:rPr>
          <w:rFonts w:ascii="Abadi" w:hAnsi="Abadi"/>
          <w:sz w:val="26"/>
          <w:szCs w:val="26"/>
        </w:rPr>
      </w:pPr>
      <w:bookmarkStart w:id="0" w:name="_Hlk182851527"/>
      <w:r w:rsidRPr="00664D5F">
        <w:rPr>
          <w:rFonts w:ascii="Abadi" w:hAnsi="Abadi"/>
          <w:sz w:val="26"/>
          <w:szCs w:val="26"/>
        </w:rPr>
        <w:t>Cuidado con la brecha - Lo que se necesita para financiar un futuro más verde</w:t>
      </w:r>
    </w:p>
    <w:bookmarkEnd w:id="0"/>
    <w:p w14:paraId="3B095950" w14:textId="77777777" w:rsidR="001958F0" w:rsidRPr="001958F0" w:rsidRDefault="001958F0" w:rsidP="001958F0">
      <w:pPr>
        <w:jc w:val="both"/>
        <w:rPr>
          <w:i/>
          <w:iCs/>
        </w:rPr>
      </w:pPr>
      <w:r w:rsidRPr="001958F0">
        <w:rPr>
          <w:i/>
          <w:iCs/>
        </w:rPr>
        <w:t>12 noviembre 2024</w:t>
      </w:r>
    </w:p>
    <w:p w14:paraId="70B42D79" w14:textId="77777777" w:rsidR="001958F0" w:rsidRPr="001958F0" w:rsidRDefault="001958F0" w:rsidP="001958F0">
      <w:pPr>
        <w:jc w:val="both"/>
        <w:rPr>
          <w:b/>
          <w:bCs/>
        </w:rPr>
      </w:pPr>
      <w:r w:rsidRPr="001958F0">
        <w:rPr>
          <w:b/>
          <w:bCs/>
        </w:rPr>
        <w:t>Christine Lagarde</w:t>
      </w:r>
    </w:p>
    <w:p w14:paraId="4B416BE0" w14:textId="77777777" w:rsidR="001958F0" w:rsidRPr="001958F0" w:rsidRDefault="001958F0" w:rsidP="001958F0">
      <w:pPr>
        <w:jc w:val="both"/>
        <w:rPr>
          <w:i/>
          <w:iCs/>
        </w:rPr>
      </w:pPr>
      <w:r w:rsidRPr="001958F0">
        <w:rPr>
          <w:i/>
          <w:iCs/>
        </w:rPr>
        <w:t>La complacencia en la lucha contra el cambio climático y la preservación de la biodiversidad está poniendo en peligro nuestra supervivencia económica. Cuanto más esperemos, mayores serán los costos. Christine Lagarde, presidenta del Banco Central Europeo, advierte de la creciente brecha entre los compromisos asumidos y la inversión necesaria.</w:t>
      </w:r>
    </w:p>
    <w:p w14:paraId="27D44007" w14:textId="77777777" w:rsidR="001958F0" w:rsidRPr="001958F0" w:rsidRDefault="001958F0" w:rsidP="001958F0">
      <w:pPr>
        <w:jc w:val="both"/>
      </w:pPr>
      <w:r w:rsidRPr="001958F0">
        <w:t>Todos lo hemos escuchado una y otra vez: o abordamos el cambio climático y salvaguardamos la naturaleza, o nos enfrentamos al alto precio de nuestra inacción. Y ese precio está subiendo día a día. Basta con pensar en las recientes inundaciones en España, las sequías en la cuenca del Amazonas o las tormentas en América del Norte. Estos acontecimientos son horribles en sí mismos, pero también están arruinando los cimientos de nuestras economías y, en última instancia, la base de nuestra supervivencia económica.</w:t>
      </w:r>
    </w:p>
    <w:p w14:paraId="14A9033E" w14:textId="4508D4C0" w:rsidR="001958F0" w:rsidRPr="001958F0" w:rsidRDefault="001958F0" w:rsidP="001958F0">
      <w:pPr>
        <w:jc w:val="both"/>
      </w:pPr>
      <w:r w:rsidRPr="001958F0">
        <w:t>Hacer frente a las crisis climática</w:t>
      </w:r>
      <w:r w:rsidR="00D063D9">
        <w:t>s</w:t>
      </w:r>
      <w:r w:rsidRPr="001958F0">
        <w:t xml:space="preserve"> y de la naturaleza exige inversiones urgentes en tres ámbitos: la mitigación del cambio climático, la adaptación y el socorro en caso de desastres. En otras palabras: debemos frenar el cambio climático en la mayor medida posible, prepararnos para lo que no podemos evitar y ayudar a los más afectados. Todo esto es vital, y todo ello es costoso. Pero hasta ahora, solo hemos movilizado una fracción de los fondos que necesitamos.</w:t>
      </w:r>
    </w:p>
    <w:p w14:paraId="32EE2BEE" w14:textId="16FFD415" w:rsidR="001958F0" w:rsidRPr="001958F0" w:rsidRDefault="001958F0" w:rsidP="001958F0">
      <w:pPr>
        <w:jc w:val="both"/>
      </w:pPr>
      <w:r w:rsidRPr="001958F0">
        <w:t>Para mantener el camino hacia el cumplimiento de los objetivos del Acuerdo de París, la inversión anual mundial en</w:t>
      </w:r>
      <w:r w:rsidR="00BF501B">
        <w:t xml:space="preserve"> </w:t>
      </w:r>
      <w:hyperlink r:id="rId5" w:history="1">
        <w:r w:rsidRPr="001958F0">
          <w:rPr>
            <w:rStyle w:val="Hipervnculo"/>
          </w:rPr>
          <w:t>Mitigación del cambio climático</w:t>
        </w:r>
      </w:hyperlink>
      <w:r w:rsidR="00BF501B">
        <w:t xml:space="preserve"> </w:t>
      </w:r>
      <w:r w:rsidRPr="001958F0">
        <w:t>diseñadas para ayudar a la transición Nuestras economías deben alcanzar hasta 11,7 billones de dólares anuales para 2035, según estimaciones del Programa de las Naciones Unidas para el Medio Ambiente (PNUMA). Eso equivale a alrededor del 10 por ciento de la producción económica mundial. Solo la transición energética requiere que la inversión en energías limpias se triplique para 2030. Necesitamos urgentemente desbloquear todas las fuentes posibles de capital, a velocidad y a escala, y establecer las condiciones regulatorias para financiar nuestro futuro verde y preservar la naturaleza.</w:t>
      </w:r>
    </w:p>
    <w:p w14:paraId="76180B18" w14:textId="77777777" w:rsidR="001958F0" w:rsidRPr="001958F0" w:rsidRDefault="001958F0" w:rsidP="001958F0">
      <w:pPr>
        <w:jc w:val="both"/>
      </w:pPr>
      <w:r w:rsidRPr="001958F0">
        <w:t>El cambio climático y la degradación de la naturaleza transformarán nuestras sociedades, independientemente de las acciones que tomemos. Eso significa que debemos adaptarnos y ser más resilientes, y debemos hacerlo de una manera que sea justa y equitativa.</w:t>
      </w:r>
    </w:p>
    <w:p w14:paraId="136E9C6B" w14:textId="77777777" w:rsidR="001958F0" w:rsidRPr="001958F0" w:rsidRDefault="001958F0" w:rsidP="001958F0">
      <w:pPr>
        <w:jc w:val="both"/>
      </w:pPr>
      <w:r w:rsidRPr="001958F0">
        <w:t>Incluso en los escenarios más optimistas, los gobiernos tendrán que ayudar, en particular los de los grupos más vulnerables. Sin embargo, si se observa la inversión para la adaptación al clima, la diferencia entre lo que se necesita y lo que se planifica –lo que llamamos la "brecha de financiamiento"– se está ampliando. El PNUMA también estima que esas necesidades de financiación están aumentando. Son un 50% superiores a lo estimado anteriormente y hasta 18 veces superiores a los compromisos actuales.</w:t>
      </w:r>
    </w:p>
    <w:p w14:paraId="157382B9" w14:textId="77777777" w:rsidR="001958F0" w:rsidRPr="001958F0" w:rsidRDefault="001958F0" w:rsidP="001958F0">
      <w:pPr>
        <w:jc w:val="both"/>
      </w:pPr>
      <w:r w:rsidRPr="001958F0">
        <w:t xml:space="preserve">Quedarse atrás en la mitigación y adaptación al cambio climático aumenta el riesgo de desastres naturales y, a su vez, la necesidad de socorro en casos de desastre. Es especialmente un deber de los países más fuertes ayudar a los más vulnerables, tanto por razones humanitarias como </w:t>
      </w:r>
      <w:r w:rsidRPr="001958F0">
        <w:lastRenderedPageBreak/>
        <w:t>económicas. Pero, una vez más, nuestros esfuerzos están lejos de ser suficientes, y la financiación para la ayuda en caso de desastres climáticos está muy lejos de donde debería estar.</w:t>
      </w:r>
    </w:p>
    <w:p w14:paraId="0B6AC27C" w14:textId="053E12C6" w:rsidR="001958F0" w:rsidRPr="001958F0" w:rsidRDefault="001958F0" w:rsidP="001958F0">
      <w:pPr>
        <w:jc w:val="both"/>
      </w:pPr>
      <w:r w:rsidRPr="001958F0">
        <w:t>Esto se debe en parte al ensanchamiento</w:t>
      </w:r>
      <w:r w:rsidR="00BF501B">
        <w:t xml:space="preserve"> </w:t>
      </w:r>
      <w:hyperlink r:id="rId6" w:history="1">
        <w:r w:rsidRPr="001958F0">
          <w:rPr>
            <w:rStyle w:val="Hipervnculo"/>
          </w:rPr>
          <w:t>hueco</w:t>
        </w:r>
      </w:hyperlink>
      <w:r w:rsidR="00BF501B">
        <w:rPr>
          <w:rStyle w:val="Hipervnculo"/>
        </w:rPr>
        <w:t xml:space="preserve"> </w:t>
      </w:r>
      <w:r w:rsidRPr="001958F0">
        <w:t>entre pérdidas aseguradas y no aseguradas. Según Swiss Re, solo el 38% del total de 280.000 millones de dólares en pérdidas económicas mundiales en 2023 estaba asegurado, y la mayor parte se concentró en el mundo industrializado. El acuerdo sobre el Fondo para Pérdidas y Daños alcanzado hace dos años en la COP 27 en Sharm el-Sheikh fue un paso positivo, y la COP 29, que comienza esta semana en Bakú, es una oportunidad para que los países la equipen con el capital que necesita. Sin embargo, dados los impactos desiguales del cambio climático, los países más desarrollados deberían aumentar sus contribuciones al mismo.</w:t>
      </w:r>
    </w:p>
    <w:p w14:paraId="19B3C945" w14:textId="77777777" w:rsidR="001958F0" w:rsidRPr="001958F0" w:rsidRDefault="001958F0" w:rsidP="001958F0">
      <w:pPr>
        <w:jc w:val="both"/>
      </w:pPr>
      <w:r w:rsidRPr="001958F0">
        <w:t>El cambio climático y la degradación de la naturaleza son amenazas para nuestras economías. Es por eso que el Banco Central Europeo y otros bancos centrales los tienen en cuenta cuando trabajan para mantener los precios estables, los bancos sólidos y el sistema financiero seguro. Es nuestra tarea recopilar y analizar datos sobre cómo el cambio climático y la pérdida de naturaleza tienen un impacto en los bancos y la economía. Esto puede ayudar a orientar de manera eficiente la financiación ya comprometida y futura, de modo que la economía se alinee con los objetivos de París.</w:t>
      </w:r>
    </w:p>
    <w:p w14:paraId="213D14B7" w14:textId="77777777" w:rsidR="001958F0" w:rsidRPr="001958F0" w:rsidRDefault="001958F0" w:rsidP="001958F0">
      <w:pPr>
        <w:jc w:val="both"/>
      </w:pPr>
      <w:r w:rsidRPr="001958F0">
        <w:t>Pero son los gobiernos los que están a la vanguardia de la lucha contra el cambio climático. Ellos son los que tienen los medios y las herramientas para enfrentarlo. Sin embargo, no pueden hacerlo solos. Las empresas, los mercados de capitales y los inversores de riesgo también tendrán un papel vital que desempeñar en la financiación de la innovación verde. Y dentro de la UE, las políticas estructurales, los incentivos fiscales (como la tarificación del carbono y la abolición de los subsidios a los combustibles fósiles), los planes de transición y los avances en la unión de los mercados de capitales son fundamentales para eliminar las barreras a la inversión y acelerar la transición ecológica.</w:t>
      </w:r>
    </w:p>
    <w:p w14:paraId="3F50703F" w14:textId="77777777" w:rsidR="001958F0" w:rsidRPr="001958F0" w:rsidRDefault="001958F0" w:rsidP="001958F0">
      <w:pPr>
        <w:jc w:val="both"/>
      </w:pPr>
      <w:r w:rsidRPr="001958F0">
        <w:t>Abordar el cambio climático y salvaguardar la biodiversidad de manera justa y equitativa no es una tarea que podamos permitirnos dejar a las generaciones futuras, es nuestro deber actuar ahora. Para garantizar nuestra supervivencia económica, necesitamos invertir en nuestro futuro verde y resiliente. La COP de este año marca el momento de cerrar la brecha de financiamiento climático global.</w:t>
      </w:r>
    </w:p>
    <w:p w14:paraId="0BEEEA78" w14:textId="77777777" w:rsidR="001958F0" w:rsidRPr="001958F0" w:rsidRDefault="001958F0" w:rsidP="001958F0">
      <w:pPr>
        <w:jc w:val="both"/>
      </w:pPr>
      <w:r w:rsidRPr="001958F0">
        <w:rPr>
          <w:i/>
          <w:iCs/>
        </w:rPr>
        <w:t>Este post también fue publicado como artículo de opinión en el Financial Times.</w:t>
      </w:r>
    </w:p>
    <w:p w14:paraId="67A5BF4E" w14:textId="16C81122" w:rsidR="001958F0" w:rsidRPr="001958F0" w:rsidRDefault="001958F0" w:rsidP="001958F0">
      <w:pPr>
        <w:jc w:val="both"/>
      </w:pPr>
      <w:r w:rsidRPr="001958F0">
        <w:t>Check-out</w:t>
      </w:r>
      <w:r w:rsidR="00BF501B">
        <w:t xml:space="preserve"> </w:t>
      </w:r>
      <w:hyperlink r:id="rId7" w:history="1">
        <w:r w:rsidRPr="001958F0">
          <w:rPr>
            <w:rStyle w:val="Hipervnculo"/>
          </w:rPr>
          <w:t>Blog del BCE</w:t>
        </w:r>
      </w:hyperlink>
      <w:r w:rsidR="00BF501B">
        <w:t xml:space="preserve"> </w:t>
      </w:r>
      <w:r w:rsidRPr="001958F0">
        <w:t>y</w:t>
      </w:r>
      <w:r w:rsidR="00BF501B">
        <w:t xml:space="preserve"> </w:t>
      </w:r>
      <w:hyperlink r:id="rId8" w:history="1">
        <w:r w:rsidRPr="001958F0">
          <w:rPr>
            <w:rStyle w:val="Hipervnculo"/>
          </w:rPr>
          <w:t>subscribir</w:t>
        </w:r>
      </w:hyperlink>
      <w:r w:rsidR="00BF501B">
        <w:rPr>
          <w:b/>
          <w:bCs/>
        </w:rPr>
        <w:t xml:space="preserve"> </w:t>
      </w:r>
      <w:r w:rsidRPr="001958F0">
        <w:t>para futuras publicaciones.</w:t>
      </w:r>
    </w:p>
    <w:p w14:paraId="5CA8F8A3" w14:textId="5BC0CAAD" w:rsidR="001958F0" w:rsidRPr="001958F0" w:rsidRDefault="001958F0" w:rsidP="001958F0">
      <w:pPr>
        <w:jc w:val="both"/>
      </w:pPr>
      <w:r w:rsidRPr="001958F0">
        <w:t>Para temas relacionados con la supervisión bancaria, ¿por qué no echar un vistazo a</w:t>
      </w:r>
      <w:r w:rsidR="00BF501B">
        <w:t xml:space="preserve"> </w:t>
      </w:r>
      <w:hyperlink r:id="rId9" w:history="1">
        <w:r w:rsidRPr="001958F0">
          <w:rPr>
            <w:rStyle w:val="Hipervnculo"/>
          </w:rPr>
          <w:t>El Blog de Supervisión</w:t>
        </w:r>
      </w:hyperlink>
      <w:r w:rsidRPr="001958F0">
        <w:t>?</w:t>
      </w:r>
    </w:p>
    <w:p w14:paraId="5957753B" w14:textId="77777777" w:rsidR="001958F0" w:rsidRPr="001958F0" w:rsidRDefault="001958F0" w:rsidP="001958F0">
      <w:pPr>
        <w:jc w:val="both"/>
        <w:rPr>
          <w:b/>
          <w:bCs/>
        </w:rPr>
      </w:pPr>
      <w:r w:rsidRPr="001958F0">
        <w:rPr>
          <w:b/>
          <w:bCs/>
        </w:rPr>
        <w:t>Temas relacionados</w:t>
      </w:r>
    </w:p>
    <w:p w14:paraId="0B39477B" w14:textId="77777777" w:rsidR="001958F0" w:rsidRPr="001958F0" w:rsidRDefault="00BF501B" w:rsidP="001958F0">
      <w:pPr>
        <w:numPr>
          <w:ilvl w:val="0"/>
          <w:numId w:val="1"/>
        </w:numPr>
        <w:jc w:val="both"/>
      </w:pPr>
      <w:hyperlink r:id="rId10" w:history="1">
        <w:r w:rsidR="001958F0" w:rsidRPr="001958F0">
          <w:rPr>
            <w:rStyle w:val="Hipervnculo"/>
          </w:rPr>
          <w:t>Cambio climático</w:t>
        </w:r>
      </w:hyperlink>
    </w:p>
    <w:p w14:paraId="2F77F481" w14:textId="77777777" w:rsidR="001958F0" w:rsidRPr="001958F0" w:rsidRDefault="00BF501B" w:rsidP="001958F0">
      <w:pPr>
        <w:numPr>
          <w:ilvl w:val="0"/>
          <w:numId w:val="1"/>
        </w:numPr>
        <w:jc w:val="both"/>
      </w:pPr>
      <w:hyperlink r:id="rId11" w:history="1">
        <w:r w:rsidR="001958F0" w:rsidRPr="001958F0">
          <w:rPr>
            <w:rStyle w:val="Hipervnculo"/>
          </w:rPr>
          <w:t>Unión de los mercados de capitales</w:t>
        </w:r>
      </w:hyperlink>
    </w:p>
    <w:p w14:paraId="27EBC2E5" w14:textId="2075C075" w:rsidR="001958F0" w:rsidRPr="001958F0" w:rsidRDefault="001958F0" w:rsidP="001958F0">
      <w:pPr>
        <w:jc w:val="both"/>
      </w:pPr>
      <w:r w:rsidRPr="001958F0">
        <w:rPr>
          <w:b/>
          <w:bCs/>
        </w:rPr>
        <w:t>Descargo de responsabilidad</w:t>
      </w:r>
      <w:r w:rsidRPr="001958F0">
        <w:t>: Tenga en</w:t>
      </w:r>
      <w:r>
        <w:t xml:space="preserve"> </w:t>
      </w:r>
      <w:r w:rsidRPr="001958F0">
        <w:t>cuenta que las etiquetas de temas relacionados están disponibles actualmente solo para contenido seleccionado.</w:t>
      </w:r>
    </w:p>
    <w:p w14:paraId="7BCCFF23" w14:textId="6A873359" w:rsidR="0084446F" w:rsidRDefault="00D063D9" w:rsidP="001958F0">
      <w:pPr>
        <w:jc w:val="both"/>
      </w:pPr>
      <w:r w:rsidRPr="00D063D9">
        <w:rPr>
          <w:noProof/>
        </w:rPr>
        <w:lastRenderedPageBreak/>
        <w:drawing>
          <wp:inline distT="0" distB="0" distL="0" distR="0" wp14:anchorId="5FC9CC73" wp14:editId="72A47A69">
            <wp:extent cx="5612130" cy="5848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84835"/>
                    </a:xfrm>
                    <a:prstGeom prst="rect">
                      <a:avLst/>
                    </a:prstGeom>
                  </pic:spPr>
                </pic:pic>
              </a:graphicData>
            </a:graphic>
          </wp:inline>
        </w:drawing>
      </w:r>
    </w:p>
    <w:p w14:paraId="61F935FE" w14:textId="30992B6A" w:rsidR="001958F0" w:rsidRDefault="001958F0" w:rsidP="001958F0">
      <w:pPr>
        <w:jc w:val="both"/>
      </w:pPr>
    </w:p>
    <w:p w14:paraId="012E34DA" w14:textId="77777777" w:rsidR="001958F0" w:rsidRDefault="001958F0" w:rsidP="001958F0">
      <w:pPr>
        <w:jc w:val="both"/>
      </w:pPr>
    </w:p>
    <w:sectPr w:rsidR="001958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66AF"/>
    <w:multiLevelType w:val="multilevel"/>
    <w:tmpl w:val="2304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F0"/>
    <w:rsid w:val="001958F0"/>
    <w:rsid w:val="00664D5F"/>
    <w:rsid w:val="0084446F"/>
    <w:rsid w:val="00BF501B"/>
    <w:rsid w:val="00D06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4CD7"/>
  <w15:chartTrackingRefBased/>
  <w15:docId w15:val="{8C23CF7A-F5AB-462C-91EF-F7AA45A2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58F0"/>
    <w:rPr>
      <w:color w:val="0563C1" w:themeColor="hyperlink"/>
      <w:u w:val="single"/>
    </w:rPr>
  </w:style>
  <w:style w:type="character" w:styleId="Mencinsinresolver">
    <w:name w:val="Unresolved Mention"/>
    <w:basedOn w:val="Fuentedeprrafopredeter"/>
    <w:uiPriority w:val="99"/>
    <w:semiHidden/>
    <w:unhideWhenUsed/>
    <w:rsid w:val="00195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3211">
      <w:bodyDiv w:val="1"/>
      <w:marLeft w:val="0"/>
      <w:marRight w:val="0"/>
      <w:marTop w:val="0"/>
      <w:marBottom w:val="0"/>
      <w:divBdr>
        <w:top w:val="none" w:sz="0" w:space="0" w:color="auto"/>
        <w:left w:val="none" w:sz="0" w:space="0" w:color="auto"/>
        <w:bottom w:val="none" w:sz="0" w:space="0" w:color="auto"/>
        <w:right w:val="none" w:sz="0" w:space="0" w:color="auto"/>
      </w:divBdr>
      <w:divsChild>
        <w:div w:id="2079865266">
          <w:marLeft w:val="0"/>
          <w:marRight w:val="0"/>
          <w:marTop w:val="0"/>
          <w:marBottom w:val="525"/>
          <w:divBdr>
            <w:top w:val="none" w:sz="0" w:space="0" w:color="auto"/>
            <w:left w:val="none" w:sz="0" w:space="0" w:color="auto"/>
            <w:bottom w:val="none" w:sz="0" w:space="0" w:color="auto"/>
            <w:right w:val="none" w:sz="0" w:space="0" w:color="auto"/>
          </w:divBdr>
        </w:div>
        <w:div w:id="1387072797">
          <w:marLeft w:val="0"/>
          <w:marRight w:val="0"/>
          <w:marTop w:val="450"/>
          <w:marBottom w:val="0"/>
          <w:divBdr>
            <w:top w:val="none" w:sz="0" w:space="0" w:color="auto"/>
            <w:left w:val="none" w:sz="0" w:space="0" w:color="auto"/>
            <w:bottom w:val="none" w:sz="0" w:space="0" w:color="auto"/>
            <w:right w:val="none" w:sz="0" w:space="0" w:color="auto"/>
          </w:divBdr>
          <w:divsChild>
            <w:div w:id="1877620572">
              <w:marLeft w:val="0"/>
              <w:marRight w:val="0"/>
              <w:marTop w:val="0"/>
              <w:marBottom w:val="0"/>
              <w:divBdr>
                <w:top w:val="none" w:sz="0" w:space="0" w:color="auto"/>
                <w:left w:val="none" w:sz="0" w:space="0" w:color="auto"/>
                <w:bottom w:val="none" w:sz="0" w:space="0" w:color="auto"/>
                <w:right w:val="none" w:sz="0" w:space="0" w:color="auto"/>
              </w:divBdr>
            </w:div>
          </w:divsChild>
        </w:div>
        <w:div w:id="1391810837">
          <w:marLeft w:val="0"/>
          <w:marRight w:val="0"/>
          <w:marTop w:val="0"/>
          <w:marBottom w:val="750"/>
          <w:divBdr>
            <w:top w:val="none" w:sz="0" w:space="0" w:color="auto"/>
            <w:left w:val="none" w:sz="0" w:space="0" w:color="auto"/>
            <w:bottom w:val="none" w:sz="0" w:space="0" w:color="auto"/>
            <w:right w:val="none" w:sz="0" w:space="0" w:color="auto"/>
          </w:divBdr>
          <w:divsChild>
            <w:div w:id="65707169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html/register.e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b.europa.eu/press/blog/html/index.en.htm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b.europa.eu/ecb/climate/climate/html/index.en.html" TargetMode="External"/><Relationship Id="rId11" Type="http://schemas.openxmlformats.org/officeDocument/2006/relationships/hyperlink" Target="https://www.ecb.europa.eu/home/search/html/capital_markets_union.en.html" TargetMode="External"/><Relationship Id="rId5" Type="http://schemas.openxmlformats.org/officeDocument/2006/relationships/hyperlink" Target="https://www.unep.org/resources/emissions-gap-report-2024" TargetMode="External"/><Relationship Id="rId10" Type="http://schemas.openxmlformats.org/officeDocument/2006/relationships/hyperlink" Target="https://www.ecb.europa.eu/home/search/html/climate_change.en.html" TargetMode="External"/><Relationship Id="rId4" Type="http://schemas.openxmlformats.org/officeDocument/2006/relationships/webSettings" Target="webSettings.xml"/><Relationship Id="rId9" Type="http://schemas.openxmlformats.org/officeDocument/2006/relationships/hyperlink" Target="https://www.bankingsupervision.europa.eu/press/blog/html/index.en.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1045</Words>
  <Characters>5752</Characters>
  <Application>Microsoft Office Word</Application>
  <DocSecurity>0</DocSecurity>
  <Lines>47</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2024-11-16T02:22:00Z</dcterms:created>
  <dcterms:modified xsi:type="dcterms:W3CDTF">2024-11-26T03:05:00Z</dcterms:modified>
</cp:coreProperties>
</file>