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D3D5E" w14:textId="77777777" w:rsidR="008D28FD" w:rsidRPr="0032268B" w:rsidRDefault="008D28FD" w:rsidP="008D28FD">
      <w:pPr>
        <w:jc w:val="both"/>
        <w:rPr>
          <w:rFonts w:ascii="Abadi" w:hAnsi="Abadi"/>
          <w:sz w:val="24"/>
          <w:szCs w:val="24"/>
        </w:rPr>
      </w:pPr>
      <w:r w:rsidRPr="0032268B">
        <w:rPr>
          <w:rFonts w:ascii="Abadi" w:hAnsi="Abadi"/>
          <w:sz w:val="24"/>
          <w:szCs w:val="24"/>
        </w:rPr>
        <w:t>El comité conjunto de la ESA prioriza la resiliencia y la sostenibilidad digitales en 2025</w:t>
      </w:r>
    </w:p>
    <w:p w14:paraId="1E374980" w14:textId="38B07FC1" w:rsidR="008D28FD" w:rsidRPr="008D28FD" w:rsidRDefault="008D28FD" w:rsidP="008D28FD">
      <w:pPr>
        <w:jc w:val="both"/>
      </w:pPr>
      <w:r w:rsidRPr="008D28FD">
        <w:rPr>
          <w:noProof/>
        </w:rPr>
        <w:drawing>
          <wp:inline distT="0" distB="0" distL="0" distR="0" wp14:anchorId="0B6B7111" wp14:editId="156AAE61">
            <wp:extent cx="5612130" cy="3741420"/>
            <wp:effectExtent l="0" t="0" r="7620" b="0"/>
            <wp:docPr id="1" name="Imagen 1" descr="Consejo europ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ejo europe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3741420"/>
                    </a:xfrm>
                    <a:prstGeom prst="rect">
                      <a:avLst/>
                    </a:prstGeom>
                    <a:noFill/>
                    <a:ln>
                      <a:noFill/>
                    </a:ln>
                  </pic:spPr>
                </pic:pic>
              </a:graphicData>
            </a:graphic>
          </wp:inline>
        </w:drawing>
      </w:r>
    </w:p>
    <w:p w14:paraId="6D80E371" w14:textId="51082022" w:rsidR="00C75D94" w:rsidRPr="008D28FD" w:rsidRDefault="00C75D94" w:rsidP="00C75D94">
      <w:pPr>
        <w:jc w:val="both"/>
      </w:pPr>
      <w:r w:rsidRPr="008D28FD">
        <w:t>Publicado el 11 de octubre de 2024 por</w:t>
      </w:r>
      <w:r w:rsidR="007B105C">
        <w:t xml:space="preserve"> </w:t>
      </w:r>
      <w:hyperlink r:id="rId5" w:history="1">
        <w:r w:rsidRPr="008D28FD">
          <w:rPr>
            <w:rStyle w:val="Hipervnculo"/>
            <w:b/>
            <w:bCs/>
          </w:rPr>
          <w:t>Editor</w:t>
        </w:r>
      </w:hyperlink>
    </w:p>
    <w:p w14:paraId="4A0B74C3" w14:textId="77777777" w:rsidR="008D28FD" w:rsidRPr="008D28FD" w:rsidRDefault="008D28FD" w:rsidP="008D28FD">
      <w:pPr>
        <w:jc w:val="both"/>
      </w:pPr>
      <w:r w:rsidRPr="008D28FD">
        <w:t>El Comité Conjunto de las Autoridades Europeas de Supervisión (ABE, EIOPA y ESMA, las AES) ha publicado su Programa de Trabajo 2025, centrado en mejorar la resiliencia digital y la divulgación de información sobre sostenibilidad en todo el sistema financiero de la UE.</w:t>
      </w:r>
    </w:p>
    <w:p w14:paraId="348B3EB2" w14:textId="77777777" w:rsidR="008D28FD" w:rsidRPr="008D28FD" w:rsidRDefault="008D28FD" w:rsidP="008D28FD">
      <w:pPr>
        <w:jc w:val="both"/>
      </w:pPr>
      <w:r w:rsidRPr="008D28FD">
        <w:t>Esta colaboración continua tiene como objetivo abordar los riesgos intersectoriales, promover la coherencia regulatoria y salvaguardar la estabilidad financiera, protegiendo al mismo tiempo a los consumidores y a los inversores.</w:t>
      </w:r>
    </w:p>
    <w:p w14:paraId="5CF1150B" w14:textId="77777777" w:rsidR="008D28FD" w:rsidRPr="008D28FD" w:rsidRDefault="008D28FD" w:rsidP="008D28FD">
      <w:pPr>
        <w:jc w:val="both"/>
      </w:pPr>
      <w:r w:rsidRPr="008D28FD">
        <w:t>Las principales prioridades para 2025 incluyen la promoción de la divulgación de información sobre sostenibilidad mediante la provisión de más orientación y la mejora de la resiliencia operativa digital de las entidades financieras. Esto implicará la puesta en marcha de la supervisión de proveedores externos críticos de TIC y la coordinación de los principales incidentes relacionados con las TIC, como se describe en la Ley de Resiliencia Operativa Digital (DORA). Otras áreas de atención incluyen el seguimiento de los conglomerados financieros, la ampliación de las soluciones innovadoras en el sector financiero y el abordaje de cuestiones intersectoriales como los servicios financieros minoristas y la titulización.</w:t>
      </w:r>
    </w:p>
    <w:p w14:paraId="27C133CB" w14:textId="77777777" w:rsidR="008D28FD" w:rsidRPr="008D28FD" w:rsidRDefault="008D28FD" w:rsidP="008D28FD">
      <w:pPr>
        <w:jc w:val="both"/>
      </w:pPr>
      <w:r w:rsidRPr="008D28FD">
        <w:t>El Comité Mixto desempeña un papel fundamental a la hora de garantizar la cooperación entre las AES y promover la coherencia en todo el marco regulatorio financiero de la UE. Su enfoque en la sostenibilidad y la resiliencia digital refleja la creciente importancia de estas áreas en un panorama financiero en rápida evolución.</w:t>
      </w:r>
    </w:p>
    <w:p w14:paraId="39ECC2B2" w14:textId="784C5268" w:rsidR="008D28FD" w:rsidRPr="008D28FD" w:rsidRDefault="008D28FD" w:rsidP="008D28FD">
      <w:pPr>
        <w:jc w:val="both"/>
      </w:pPr>
      <w:r w:rsidRPr="008D28FD">
        <w:lastRenderedPageBreak/>
        <w:t>Para más detalles, puede leer el Programa de Trabajo 2025 completo del Comité Conjunto</w:t>
      </w:r>
      <w:r w:rsidR="007B105C">
        <w:t xml:space="preserve"> </w:t>
      </w:r>
      <w:hyperlink r:id="rId6" w:history="1">
        <w:r w:rsidRPr="008D28FD">
          <w:rPr>
            <w:rStyle w:val="Hipervnculo"/>
          </w:rPr>
          <w:t>aquí</w:t>
        </w:r>
      </w:hyperlink>
      <w:r w:rsidRPr="008D28FD">
        <w:t>.</w:t>
      </w:r>
    </w:p>
    <w:p w14:paraId="4AF5F93C" w14:textId="027EDA10" w:rsidR="008D28FD" w:rsidRPr="008D28FD" w:rsidRDefault="007B105C" w:rsidP="008D28FD">
      <w:pPr>
        <w:jc w:val="both"/>
      </w:pPr>
      <w:hyperlink r:id="rId7" w:history="1">
        <w:r w:rsidR="008D28FD" w:rsidRPr="008D28FD">
          <w:rPr>
            <w:rStyle w:val="Hipervnculo"/>
          </w:rPr>
          <w:t>Divulgación de información sobre la sostenibilidad</w:t>
        </w:r>
        <w:r>
          <w:rPr>
            <w:rStyle w:val="Hipervnculo"/>
          </w:rPr>
          <w:t xml:space="preserve"> </w:t>
        </w:r>
      </w:hyperlink>
      <w:hyperlink r:id="rId8" w:history="1">
        <w:r w:rsidR="008D28FD" w:rsidRPr="008D28FD">
          <w:rPr>
            <w:rStyle w:val="Hipervnculo"/>
          </w:rPr>
          <w:t>del sistema financiero de la UE</w:t>
        </w:r>
        <w:r>
          <w:rPr>
            <w:rStyle w:val="Hipervnculo"/>
          </w:rPr>
          <w:t xml:space="preserve"> </w:t>
        </w:r>
      </w:hyperlink>
      <w:hyperlink r:id="rId9" w:history="1">
        <w:r w:rsidR="008D28FD" w:rsidRPr="008D28FD">
          <w:rPr>
            <w:rStyle w:val="Hipervnculo"/>
          </w:rPr>
          <w:t>de la ESA</w:t>
        </w:r>
      </w:hyperlink>
    </w:p>
    <w:p w14:paraId="59675314" w14:textId="78FA294F" w:rsidR="008D28FD" w:rsidRDefault="008D28FD" w:rsidP="008D28FD">
      <w:pPr>
        <w:jc w:val="both"/>
      </w:pPr>
    </w:p>
    <w:p w14:paraId="300FB9BB" w14:textId="6655027D" w:rsidR="00C75D94" w:rsidRDefault="00C75D94" w:rsidP="008D28FD">
      <w:pPr>
        <w:jc w:val="both"/>
      </w:pPr>
    </w:p>
    <w:p w14:paraId="664D6128" w14:textId="41951D03" w:rsidR="00C75D94" w:rsidRDefault="00C75D94" w:rsidP="008D28FD">
      <w:pPr>
        <w:jc w:val="both"/>
      </w:pPr>
    </w:p>
    <w:p w14:paraId="1086E1FF" w14:textId="276BC1A8" w:rsidR="00C75D94" w:rsidRDefault="00C75D94" w:rsidP="008D28FD">
      <w:pPr>
        <w:jc w:val="both"/>
      </w:pPr>
    </w:p>
    <w:p w14:paraId="6BF10F0A" w14:textId="19DAD7A4" w:rsidR="00C75D94" w:rsidRDefault="00C75D94" w:rsidP="008D28FD">
      <w:pPr>
        <w:jc w:val="both"/>
      </w:pPr>
    </w:p>
    <w:p w14:paraId="7B8F5C5B" w14:textId="45D70E96" w:rsidR="00C75D94" w:rsidRDefault="00C75D94" w:rsidP="008D28FD">
      <w:pPr>
        <w:jc w:val="both"/>
      </w:pPr>
    </w:p>
    <w:p w14:paraId="66577053" w14:textId="437D0634" w:rsidR="00C75D94" w:rsidRDefault="00C75D94" w:rsidP="008D28FD">
      <w:pPr>
        <w:jc w:val="both"/>
      </w:pPr>
    </w:p>
    <w:p w14:paraId="2E63E1DE" w14:textId="48DCC77B" w:rsidR="00C75D94" w:rsidRDefault="00C75D94" w:rsidP="008D28FD">
      <w:pPr>
        <w:jc w:val="both"/>
      </w:pPr>
    </w:p>
    <w:p w14:paraId="58DD9E9C" w14:textId="491ABA36" w:rsidR="00C75D94" w:rsidRDefault="00C75D94" w:rsidP="008D28FD">
      <w:pPr>
        <w:jc w:val="both"/>
      </w:pPr>
    </w:p>
    <w:p w14:paraId="216686E8" w14:textId="5780430C" w:rsidR="00C75D94" w:rsidRDefault="00C75D94" w:rsidP="008D28FD">
      <w:pPr>
        <w:jc w:val="both"/>
      </w:pPr>
    </w:p>
    <w:p w14:paraId="6E98F5C8" w14:textId="7D19E301" w:rsidR="007B105C" w:rsidRDefault="007B105C" w:rsidP="008D28FD">
      <w:pPr>
        <w:jc w:val="both"/>
      </w:pPr>
    </w:p>
    <w:p w14:paraId="65268630" w14:textId="11F6BDC6" w:rsidR="007B105C" w:rsidRDefault="007B105C" w:rsidP="008D28FD">
      <w:pPr>
        <w:jc w:val="both"/>
      </w:pPr>
    </w:p>
    <w:p w14:paraId="41DB22B5" w14:textId="0ECF4210" w:rsidR="007B105C" w:rsidRDefault="007B105C" w:rsidP="008D28FD">
      <w:pPr>
        <w:jc w:val="both"/>
      </w:pPr>
    </w:p>
    <w:p w14:paraId="40261E27" w14:textId="115F9CCE" w:rsidR="007B105C" w:rsidRDefault="007B105C" w:rsidP="008D28FD">
      <w:pPr>
        <w:jc w:val="both"/>
      </w:pPr>
    </w:p>
    <w:p w14:paraId="1C0F4E20" w14:textId="1234D973" w:rsidR="007B105C" w:rsidRDefault="007B105C" w:rsidP="008D28FD">
      <w:pPr>
        <w:jc w:val="both"/>
      </w:pPr>
    </w:p>
    <w:p w14:paraId="1086D09F" w14:textId="1EFE0DF3" w:rsidR="007B105C" w:rsidRDefault="007B105C" w:rsidP="008D28FD">
      <w:pPr>
        <w:jc w:val="both"/>
      </w:pPr>
    </w:p>
    <w:p w14:paraId="1369E0DF" w14:textId="5FE48A53" w:rsidR="007B105C" w:rsidRDefault="007B105C" w:rsidP="008D28FD">
      <w:pPr>
        <w:jc w:val="both"/>
      </w:pPr>
    </w:p>
    <w:p w14:paraId="5D9B7EA6" w14:textId="315680BF" w:rsidR="007B105C" w:rsidRDefault="007B105C" w:rsidP="008D28FD">
      <w:pPr>
        <w:jc w:val="both"/>
      </w:pPr>
    </w:p>
    <w:p w14:paraId="5E95DC14" w14:textId="3628CA0D" w:rsidR="007B105C" w:rsidRDefault="007B105C" w:rsidP="008D28FD">
      <w:pPr>
        <w:jc w:val="both"/>
      </w:pPr>
    </w:p>
    <w:p w14:paraId="55DC25F2" w14:textId="77777777" w:rsidR="007B105C" w:rsidRDefault="007B105C" w:rsidP="008D28FD">
      <w:pPr>
        <w:jc w:val="both"/>
      </w:pPr>
    </w:p>
    <w:p w14:paraId="6C512BB5" w14:textId="01069E4B" w:rsidR="00C75D94" w:rsidRDefault="00C75D94" w:rsidP="008D28FD">
      <w:pPr>
        <w:jc w:val="both"/>
      </w:pPr>
    </w:p>
    <w:p w14:paraId="75F34722" w14:textId="3C63AB3E" w:rsidR="00C75D94" w:rsidRDefault="00C75D94" w:rsidP="008D28FD">
      <w:pPr>
        <w:jc w:val="both"/>
      </w:pPr>
    </w:p>
    <w:p w14:paraId="56AD422A" w14:textId="1AFB3FDB" w:rsidR="00C75D94" w:rsidRDefault="00C75D94" w:rsidP="008D28FD">
      <w:pPr>
        <w:jc w:val="both"/>
      </w:pPr>
    </w:p>
    <w:p w14:paraId="33CD7D9D" w14:textId="77777777" w:rsidR="00C75D94" w:rsidRPr="008D28FD" w:rsidRDefault="00C75D94" w:rsidP="008D28FD">
      <w:pPr>
        <w:jc w:val="both"/>
      </w:pPr>
    </w:p>
    <w:p w14:paraId="7F07FFB8" w14:textId="661A9CF9" w:rsidR="005C51FB" w:rsidRDefault="005C51FB" w:rsidP="008D28FD">
      <w:pPr>
        <w:jc w:val="both"/>
      </w:pPr>
    </w:p>
    <w:p w14:paraId="2604E223" w14:textId="24641EDA" w:rsidR="008D28FD" w:rsidRDefault="008D28FD" w:rsidP="008D28FD">
      <w:pPr>
        <w:jc w:val="both"/>
      </w:pPr>
    </w:p>
    <w:p w14:paraId="30004546" w14:textId="439CE081" w:rsidR="008D28FD" w:rsidRDefault="008D28FD" w:rsidP="008D28FD">
      <w:pPr>
        <w:jc w:val="both"/>
      </w:pPr>
      <w:r w:rsidRPr="008D28FD">
        <w:rPr>
          <w:noProof/>
        </w:rPr>
        <w:lastRenderedPageBreak/>
        <w:drawing>
          <wp:inline distT="0" distB="0" distL="0" distR="0" wp14:anchorId="727E8FB5" wp14:editId="676C5F9C">
            <wp:extent cx="5612130" cy="288036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2880360"/>
                    </a:xfrm>
                    <a:prstGeom prst="rect">
                      <a:avLst/>
                    </a:prstGeom>
                  </pic:spPr>
                </pic:pic>
              </a:graphicData>
            </a:graphic>
          </wp:inline>
        </w:drawing>
      </w:r>
    </w:p>
    <w:p w14:paraId="2489E3F3" w14:textId="77777777" w:rsidR="00991EB2" w:rsidRPr="00991EB2" w:rsidRDefault="00991EB2" w:rsidP="00EB37B2">
      <w:pPr>
        <w:jc w:val="center"/>
        <w:rPr>
          <w:rFonts w:ascii="Abadi" w:hAnsi="Abadi"/>
          <w:sz w:val="28"/>
          <w:szCs w:val="28"/>
        </w:rPr>
      </w:pPr>
      <w:r w:rsidRPr="00C75D94">
        <w:rPr>
          <w:rFonts w:ascii="Abadi" w:hAnsi="Abadi"/>
          <w:sz w:val="28"/>
          <w:szCs w:val="28"/>
        </w:rPr>
        <w:t>Comité mixto</w:t>
      </w:r>
    </w:p>
    <w:p w14:paraId="58FAA696" w14:textId="22A76ED4" w:rsidR="00991EB2" w:rsidRPr="00991EB2" w:rsidRDefault="0032268B" w:rsidP="00EB37B2">
      <w:pPr>
        <w:jc w:val="center"/>
        <w:rPr>
          <w:rFonts w:ascii="Abadi" w:hAnsi="Abadi"/>
          <w:sz w:val="28"/>
          <w:szCs w:val="28"/>
        </w:rPr>
      </w:pPr>
      <w:r>
        <w:rPr>
          <w:rFonts w:ascii="Abadi" w:hAnsi="Abadi"/>
          <w:sz w:val="28"/>
          <w:szCs w:val="28"/>
        </w:rPr>
        <w:t>d</w:t>
      </w:r>
      <w:r w:rsidR="00991EB2" w:rsidRPr="00C75D94">
        <w:rPr>
          <w:rFonts w:ascii="Abadi" w:hAnsi="Abadi"/>
          <w:sz w:val="28"/>
          <w:szCs w:val="28"/>
        </w:rPr>
        <w:t>e</w:t>
      </w:r>
      <w:r>
        <w:rPr>
          <w:rFonts w:ascii="Abadi" w:hAnsi="Abadi"/>
          <w:sz w:val="28"/>
          <w:szCs w:val="28"/>
        </w:rPr>
        <w:t xml:space="preserve"> </w:t>
      </w:r>
      <w:r w:rsidR="00991EB2" w:rsidRPr="00C75D94">
        <w:rPr>
          <w:rFonts w:ascii="Abadi" w:hAnsi="Abadi"/>
          <w:sz w:val="28"/>
          <w:szCs w:val="28"/>
        </w:rPr>
        <w:t>l</w:t>
      </w:r>
      <w:r>
        <w:rPr>
          <w:rFonts w:ascii="Abadi" w:hAnsi="Abadi"/>
          <w:sz w:val="28"/>
          <w:szCs w:val="28"/>
        </w:rPr>
        <w:t>as</w:t>
      </w:r>
    </w:p>
    <w:p w14:paraId="22D5A302" w14:textId="77777777" w:rsidR="00991EB2" w:rsidRPr="00991EB2" w:rsidRDefault="00991EB2" w:rsidP="00EB37B2">
      <w:pPr>
        <w:jc w:val="center"/>
        <w:rPr>
          <w:rFonts w:ascii="Abadi" w:hAnsi="Abadi"/>
          <w:sz w:val="28"/>
          <w:szCs w:val="28"/>
        </w:rPr>
      </w:pPr>
      <w:r w:rsidRPr="00C75D94">
        <w:rPr>
          <w:rFonts w:ascii="Abadi" w:hAnsi="Abadi"/>
          <w:sz w:val="28"/>
          <w:szCs w:val="28"/>
        </w:rPr>
        <w:t>Autoridades Europeas de Supervisión</w:t>
      </w:r>
    </w:p>
    <w:p w14:paraId="78DB4762" w14:textId="77777777" w:rsidR="00991EB2" w:rsidRPr="0032268B" w:rsidRDefault="00991EB2" w:rsidP="00EB37B2">
      <w:pPr>
        <w:jc w:val="center"/>
        <w:rPr>
          <w:rFonts w:ascii="Abadi" w:hAnsi="Abadi"/>
          <w:sz w:val="28"/>
          <w:szCs w:val="28"/>
        </w:rPr>
      </w:pPr>
      <w:r w:rsidRPr="00C75D94">
        <w:rPr>
          <w:rFonts w:ascii="Abadi" w:hAnsi="Abadi"/>
          <w:sz w:val="28"/>
          <w:szCs w:val="28"/>
        </w:rPr>
        <w:t>Programa de Trabajo 2025</w:t>
      </w:r>
    </w:p>
    <w:p w14:paraId="10028F1F" w14:textId="4D3962E4" w:rsidR="008D28FD" w:rsidRPr="0032268B" w:rsidRDefault="008D28FD" w:rsidP="008D28FD">
      <w:pPr>
        <w:jc w:val="both"/>
      </w:pPr>
    </w:p>
    <w:p w14:paraId="33E2A266" w14:textId="77777777" w:rsidR="00991EB2" w:rsidRPr="00991EB2" w:rsidRDefault="00991EB2" w:rsidP="00F8382B">
      <w:pPr>
        <w:jc w:val="both"/>
        <w:rPr>
          <w:rFonts w:ascii="Abadi" w:hAnsi="Abadi"/>
          <w:color w:val="0000CC"/>
          <w:sz w:val="28"/>
          <w:szCs w:val="28"/>
        </w:rPr>
      </w:pPr>
      <w:r w:rsidRPr="00C75D94">
        <w:rPr>
          <w:rFonts w:ascii="Abadi" w:hAnsi="Abadi"/>
          <w:color w:val="0000CC"/>
          <w:sz w:val="28"/>
          <w:szCs w:val="28"/>
        </w:rPr>
        <w:t xml:space="preserve">1. Introducción </w:t>
      </w:r>
    </w:p>
    <w:p w14:paraId="187CE66B" w14:textId="79A88ADB" w:rsidR="00991EB2" w:rsidRPr="00991EB2" w:rsidRDefault="00991EB2" w:rsidP="00F8382B">
      <w:pPr>
        <w:jc w:val="both"/>
      </w:pPr>
      <w:r w:rsidRPr="00C75D94">
        <w:t>1. A través del Comité Mixto de las Autoridades Europeas de Supervisión (AES), las tres AES, a saber, la Autoridad Bancaria Europea (ABE), la Autoridad Europea de Seguros y Pensiones de Jubilación (AESPJ) y la Autoridad Europea de Valores y Mercados (AEVM), colaboran periódica y estrechamente para reforzar su cooperación. La Comisión Europea (CE) y la Junta Europea de Riesgo Sistémico (JERS) participan en los trabajos del Comité Mixto.</w:t>
      </w:r>
    </w:p>
    <w:p w14:paraId="2D429D3F" w14:textId="18E195DC" w:rsidR="007B105C" w:rsidRPr="00991EB2" w:rsidRDefault="00991EB2" w:rsidP="00F8382B">
      <w:pPr>
        <w:jc w:val="both"/>
      </w:pPr>
      <w:r w:rsidRPr="00C75D94">
        <w:t>2. A fin de fomentar la coherencia normativa intersectorial, así como la convergencia en materia de supervisión, las AES cooperan estrechamente. A través del Comité Mixto, las tres AES coordinan periódicamente sus actividades en el marco de sus respectivas responsabilidades para garantizar la coherencia de sus prácticas. Además, intercambian información y mejores prácticas entre sí y con la JERS.</w:t>
      </w:r>
    </w:p>
    <w:p w14:paraId="6A95247B" w14:textId="213EE307" w:rsidR="00991EB2" w:rsidRPr="00991EB2" w:rsidRDefault="00991EB2" w:rsidP="00CA1CBB">
      <w:pPr>
        <w:jc w:val="both"/>
      </w:pPr>
      <w:r w:rsidRPr="00C75D94">
        <w:t>3. En el contexto de unas condiciones macro</w:t>
      </w:r>
      <w:r w:rsidR="0032268B">
        <w:t xml:space="preserve"> </w:t>
      </w:r>
      <w:r w:rsidRPr="00C75D94">
        <w:t xml:space="preserve">financieras difíciles, con una presión inflacionista persistente y un estancamiento de las actividades económicas de la UE, el Comité Mixto seguirá supervisando y evaluando de cerca los principales riesgos y vulnerabilidades intersectoriales emergentes para la estabilidad financiera. El aumento de las tensiones geopolíticas y la incertidumbre están añadiendo riesgos al sistema financiero. Para comunicar su evaluación de riesgos, el Comité Mixto seguirá elaborando presentaciones e informes intersectoriales sobre </w:t>
      </w:r>
      <w:r w:rsidRPr="00C75D94">
        <w:lastRenderedPageBreak/>
        <w:t>riesgos y proporcionará actualizaciones periódicas de su evaluación al Cuadro de Estabilidad Financiera del Comité Económico y Financiero (EFC-FST) en la primavera y el otoño de 2025.</w:t>
      </w:r>
    </w:p>
    <w:p w14:paraId="76A5776B" w14:textId="440AFB42" w:rsidR="00991EB2" w:rsidRPr="00991EB2" w:rsidRDefault="00991EB2" w:rsidP="00CA1CBB">
      <w:pPr>
        <w:jc w:val="both"/>
      </w:pPr>
      <w:r w:rsidRPr="00C75D94">
        <w:t>4. El Comité Mixto seguirá centrándose en los ámbitos de la protección de los consumidores y los inversores, los servicios financieros minoristas y los productos de inversión minorista, así como en los análisis micro</w:t>
      </w:r>
      <w:r w:rsidR="0032268B">
        <w:t xml:space="preserve"> </w:t>
      </w:r>
      <w:r w:rsidRPr="00C75D94">
        <w:t>prudenciales de la evolución intersectorial. Se centrará en la resiliencia operativa digital, los conglomerados financieros, así como en la contabilidad y la auditoría.</w:t>
      </w:r>
    </w:p>
    <w:p w14:paraId="07CB8547" w14:textId="77777777" w:rsidR="00991EB2" w:rsidRPr="0032268B" w:rsidRDefault="00991EB2" w:rsidP="00147313">
      <w:pPr>
        <w:jc w:val="both"/>
        <w:rPr>
          <w:rFonts w:ascii="Abadi" w:hAnsi="Abadi"/>
          <w:color w:val="0000CC"/>
          <w:sz w:val="24"/>
          <w:szCs w:val="24"/>
        </w:rPr>
      </w:pPr>
      <w:r w:rsidRPr="0032268B">
        <w:rPr>
          <w:rFonts w:ascii="Abadi" w:hAnsi="Abadi"/>
          <w:color w:val="0000CC"/>
          <w:sz w:val="24"/>
          <w:szCs w:val="24"/>
        </w:rPr>
        <w:t xml:space="preserve">1.1 Áreas específicas de trabajo de JC </w:t>
      </w:r>
    </w:p>
    <w:p w14:paraId="25C4B037" w14:textId="77777777" w:rsidR="00991EB2" w:rsidRPr="00991EB2" w:rsidRDefault="00991EB2" w:rsidP="00147313">
      <w:pPr>
        <w:jc w:val="both"/>
      </w:pPr>
      <w:r w:rsidRPr="00C75D94">
        <w:t xml:space="preserve">5. En el ámbito del Pacto Verde Europeo y de la Estrategia Renovada de Finanzas Sostenibles de la UE, el Comité Mixto desempeña un papel importante en la elaboración de Normas Técnicas de Regulación (RTS) en el marco del Reglamento sobre divulgación de información sobre finanzas sostenibles. </w:t>
      </w:r>
    </w:p>
    <w:p w14:paraId="05A8E309" w14:textId="77777777" w:rsidR="00991EB2" w:rsidRPr="00991EB2" w:rsidRDefault="00991EB2" w:rsidP="00147313">
      <w:pPr>
        <w:jc w:val="both"/>
      </w:pPr>
      <w:r w:rsidRPr="00C75D94">
        <w:t xml:space="preserve">6. En 2025, se requerirá que el Comité Mixto contribuya con más orientación, en particular a través de preguntas y respuestas sobre la divulgación de información en materia de sostenibilidad en virtud del Reglamento </w:t>
      </w:r>
      <w:proofErr w:type="gramStart"/>
      <w:r w:rsidRPr="00C75D94">
        <w:t>Delegado</w:t>
      </w:r>
      <w:proofErr w:type="gramEnd"/>
      <w:r w:rsidRPr="00C75D94">
        <w:t xml:space="preserve"> del SFDR y un informe de las tres AES sobre la notificación de los principales efectos adversos con arreglo al artículo 18 del Reglamento sobre el blanqueo de capitales </w:t>
      </w:r>
    </w:p>
    <w:p w14:paraId="3B1A7476" w14:textId="77777777" w:rsidR="00991EB2" w:rsidRPr="00991EB2" w:rsidRDefault="00991EB2" w:rsidP="00147313">
      <w:pPr>
        <w:jc w:val="both"/>
      </w:pPr>
      <w:r w:rsidRPr="00C75D94">
        <w:t xml:space="preserve">7. El Comité Mixto también intensificará sus esfuerzos en el ámbito del paquete de financiación digital de la CE, centrándose en el establecimiento y la puesta en marcha del marco de supervisión a escala de la UE para los proveedores terceros esenciales de TIC. Las AES pondrán en marcha en 2025 sus nuevas actividades de supervisión de conformidad con el Reglamento sobre la resiliencia operativa digital (DORA). Las AES finalizarán los mandatos políticos restantes, participarán en el trabajo de convergencia en materia de supervisión, desarrollarán mecanismos de cooperación y aplicarán el marco de coordinación sistémica de incidentes cibernéticos de la UE (EU-SCICF)). Por último, las AES desarrollarán la infraestructura informática necesaria para respaldar las tareas directas de supervisión del DORA y la notificación de incidentes. </w:t>
      </w:r>
    </w:p>
    <w:p w14:paraId="00F2A272" w14:textId="77777777" w:rsidR="00991EB2" w:rsidRPr="00991EB2" w:rsidRDefault="00991EB2" w:rsidP="00147313">
      <w:pPr>
        <w:jc w:val="both"/>
      </w:pPr>
      <w:r w:rsidRPr="00C75D94">
        <w:t xml:space="preserve">8. En el ámbito de los conglomerados financieros, el Comité Mixto publicará la lista anual de conglomerados financieros y trabajará en las plantillas de presentación de informes de conglomerados específicos. </w:t>
      </w:r>
    </w:p>
    <w:p w14:paraId="774E9F24" w14:textId="77777777" w:rsidR="00991EB2" w:rsidRPr="00991EB2" w:rsidRDefault="00991EB2" w:rsidP="00147313">
      <w:pPr>
        <w:jc w:val="both"/>
      </w:pPr>
      <w:r w:rsidRPr="00C75D94">
        <w:t xml:space="preserve">9. A través del Foro Europeo de Facilitadores de la Innovación (FEEF), el Comité Mixto seguirá promoviendo la coordinación y la cooperación entre los facilitadores nacionales de la innovación para fomentar la expansión de la innovación en el sector financiero en toda la UE, en consonancia con la Estrategia de Finanzas Digitales de la CE. </w:t>
      </w:r>
    </w:p>
    <w:p w14:paraId="1E3C1CF8" w14:textId="4D341241" w:rsidR="00991EB2" w:rsidRDefault="00991EB2" w:rsidP="00147313">
      <w:pPr>
        <w:jc w:val="both"/>
      </w:pPr>
      <w:r w:rsidRPr="00C75D94">
        <w:t>10. El Comité Mixto también abordará otros asuntos intersectoriales, como los mandatos y las preguntas relacionadas con los PRIIP y el Reglamento sobre titulizaciones.</w:t>
      </w:r>
    </w:p>
    <w:p w14:paraId="7CB68F4A" w14:textId="04984FAD" w:rsidR="00991EB2" w:rsidRPr="0032268B" w:rsidRDefault="00991EB2" w:rsidP="000506B8">
      <w:pPr>
        <w:jc w:val="both"/>
        <w:rPr>
          <w:rFonts w:ascii="Abadi" w:hAnsi="Abadi"/>
          <w:color w:val="0000CC"/>
          <w:sz w:val="24"/>
          <w:szCs w:val="24"/>
        </w:rPr>
      </w:pPr>
      <w:r w:rsidRPr="0032268B">
        <w:rPr>
          <w:rFonts w:ascii="Abadi" w:hAnsi="Abadi"/>
          <w:color w:val="0000CC"/>
          <w:sz w:val="24"/>
          <w:szCs w:val="24"/>
        </w:rPr>
        <w:t>1.2 Otros asuntos intersectoriales</w:t>
      </w:r>
    </w:p>
    <w:p w14:paraId="02A409DD" w14:textId="77777777" w:rsidR="00991EB2" w:rsidRPr="00991EB2" w:rsidRDefault="00991EB2" w:rsidP="000506B8">
      <w:pPr>
        <w:jc w:val="both"/>
      </w:pPr>
      <w:r w:rsidRPr="00C75D94">
        <w:t>11. Además, a través del Comité Mixto, las AES seguirán cumpliendo su mandato en materia de mapeo y seguimiento de las instituciones de evaluación crediticia externas (ECAI) en virtud del Reglamento sobre requisitos de capital y Solvencia II.</w:t>
      </w:r>
    </w:p>
    <w:p w14:paraId="2DA9787B" w14:textId="77777777" w:rsidR="00991EB2" w:rsidRPr="00991EB2" w:rsidRDefault="00991EB2" w:rsidP="000506B8">
      <w:pPr>
        <w:jc w:val="both"/>
        <w:rPr>
          <w:rFonts w:ascii="Abadi" w:hAnsi="Abadi"/>
          <w:color w:val="0000CC"/>
          <w:sz w:val="28"/>
          <w:szCs w:val="28"/>
        </w:rPr>
      </w:pPr>
      <w:r w:rsidRPr="00C75D94">
        <w:rPr>
          <w:rFonts w:ascii="Abadi" w:hAnsi="Abadi"/>
          <w:color w:val="0000CC"/>
          <w:sz w:val="28"/>
          <w:szCs w:val="28"/>
        </w:rPr>
        <w:lastRenderedPageBreak/>
        <w:t xml:space="preserve">2. Resiliencia operativa digital </w:t>
      </w:r>
    </w:p>
    <w:p w14:paraId="597FC46C" w14:textId="77777777" w:rsidR="00991EB2" w:rsidRPr="00991EB2" w:rsidRDefault="00991EB2" w:rsidP="000506B8">
      <w:pPr>
        <w:jc w:val="both"/>
      </w:pPr>
      <w:r w:rsidRPr="00C75D94">
        <w:t xml:space="preserve">12. El Comité Mixto seguirá centrándose en gran medida en la labor del DORA y coordinará la aplicación de la Ley de Resiliencia Operativa Digital (DORA), que se aplicará a partir de mediados de enero de 2025, incluido el nuevo marco de supervisión. </w:t>
      </w:r>
    </w:p>
    <w:p w14:paraId="159F56DA" w14:textId="623541F0" w:rsidR="00991EB2" w:rsidRPr="00991EB2" w:rsidRDefault="00991EB2" w:rsidP="000506B8">
      <w:pPr>
        <w:jc w:val="both"/>
      </w:pPr>
      <w:r w:rsidRPr="00C75D94">
        <w:t>13. Para esa fecha, el Comité Conjunto habrá entregado todos los mandatos de política de DORA previstos en el Nivel 1. Por lo tanto, las AES se centrarán en el trabajo de convergencia supervisora sobre la aplicación del marco DORA. En particular, algunos mandatos políticos (por ejemplo, la notificación de incidentes y la prueba de penetración dirigida por amenazas) pueden implicar nuevos procesos de gobernanza conjunta que se definirán con más detalle en 2025. Además, las AES asumirán sus nuevas responsabilidades de supervisión de los proveedores de servicios de TIC terceros esenciales designados. Además, también deberán presentarse dos informes relacionados con las recomendaciones de la JERS sobre un marco de coordinación sistémica de ciber</w:t>
      </w:r>
      <w:r w:rsidR="007B105C">
        <w:t xml:space="preserve"> </w:t>
      </w:r>
      <w:r w:rsidRPr="00C75D94">
        <w:t xml:space="preserve">incidentes de la UE (uno de ellos en 2025), y dicho marco también implicará la aplicación de un proceso de gobernanza pertinente. </w:t>
      </w:r>
    </w:p>
    <w:p w14:paraId="1CD3A717" w14:textId="77777777" w:rsidR="00991EB2" w:rsidRPr="00991EB2" w:rsidRDefault="00991EB2" w:rsidP="000506B8">
      <w:pPr>
        <w:jc w:val="both"/>
      </w:pPr>
      <w:r w:rsidRPr="00C75D94">
        <w:t>14. Las subestructuras del JC dedicadas al DORA evolucionarán, mediante la creación del nuevo Foro de Supervisión con fines de supervisión y la adaptación de la estructura de gobernanza según proceda para las tareas no relacionadas con el DORA.</w:t>
      </w:r>
    </w:p>
    <w:p w14:paraId="57D37D96" w14:textId="77777777" w:rsidR="00991EB2" w:rsidRPr="00991EB2" w:rsidRDefault="00991EB2" w:rsidP="00BC5334">
      <w:pPr>
        <w:jc w:val="both"/>
        <w:rPr>
          <w:rFonts w:ascii="Abadi" w:hAnsi="Abadi"/>
          <w:color w:val="0000CC"/>
          <w:sz w:val="28"/>
          <w:szCs w:val="28"/>
        </w:rPr>
      </w:pPr>
      <w:r w:rsidRPr="00C75D94">
        <w:rPr>
          <w:rFonts w:ascii="Abadi" w:hAnsi="Abadi"/>
          <w:color w:val="0000CC"/>
          <w:sz w:val="28"/>
          <w:szCs w:val="28"/>
        </w:rPr>
        <w:t xml:space="preserve">3. Protección del consumidor e innovación financiera </w:t>
      </w:r>
    </w:p>
    <w:p w14:paraId="6785BBE8" w14:textId="77777777" w:rsidR="00991EB2" w:rsidRPr="00991EB2" w:rsidRDefault="00991EB2" w:rsidP="00BC5334">
      <w:pPr>
        <w:jc w:val="both"/>
      </w:pPr>
      <w:r w:rsidRPr="00C75D94">
        <w:t>15. El Comité Mixto refuerza la confianza y la protección de los consumidores europeos en relación con los productos bancarios, de seguros y de pensiones y valores. Este seguirá siendo un ámbito prioritario para el Comité Mixto en 2025.</w:t>
      </w:r>
    </w:p>
    <w:p w14:paraId="10869A03" w14:textId="77777777" w:rsidR="00991EB2" w:rsidRPr="00991EB2" w:rsidRDefault="00991EB2" w:rsidP="00BC5334">
      <w:pPr>
        <w:jc w:val="both"/>
        <w:rPr>
          <w:rFonts w:ascii="Abadi" w:hAnsi="Abadi"/>
          <w:color w:val="0000CC"/>
          <w:sz w:val="28"/>
          <w:szCs w:val="28"/>
        </w:rPr>
      </w:pPr>
      <w:r w:rsidRPr="00C75D94">
        <w:rPr>
          <w:rFonts w:ascii="Abadi" w:hAnsi="Abadi"/>
          <w:color w:val="0000CC"/>
          <w:sz w:val="28"/>
          <w:szCs w:val="28"/>
        </w:rPr>
        <w:t xml:space="preserve">4. Evaluación de riesgos </w:t>
      </w:r>
    </w:p>
    <w:p w14:paraId="16CF19B1" w14:textId="77777777" w:rsidR="00991EB2" w:rsidRPr="00991EB2" w:rsidRDefault="00991EB2" w:rsidP="00BC5334">
      <w:pPr>
        <w:jc w:val="both"/>
      </w:pPr>
      <w:r w:rsidRPr="00C75D94">
        <w:t>16. El Comité Mixto seguirá siendo un foro importante para el debate sobre los riesgos intersectoriales, y el análisis de riesgos seguirá siendo un ámbito prioritario para el Comité Mixto en 2025. Las AES evaluarán conjuntamente las principales tendencias y vulnerabilidades para la estabilidad financiera y seguirán elaborando análisis de riesgos intersectoriales específicos, además de sus respectivos análisis de riesgos sectoriales.</w:t>
      </w:r>
    </w:p>
    <w:p w14:paraId="22196269" w14:textId="77777777" w:rsidR="00991EB2" w:rsidRPr="00991EB2" w:rsidRDefault="00991EB2" w:rsidP="00BC5334">
      <w:pPr>
        <w:jc w:val="both"/>
        <w:rPr>
          <w:rFonts w:ascii="Abadi" w:hAnsi="Abadi"/>
          <w:color w:val="0000CC"/>
          <w:sz w:val="28"/>
          <w:szCs w:val="28"/>
        </w:rPr>
      </w:pPr>
      <w:r w:rsidRPr="00C75D94">
        <w:rPr>
          <w:rFonts w:ascii="Abadi" w:hAnsi="Abadi"/>
          <w:color w:val="0000CC"/>
          <w:sz w:val="28"/>
          <w:szCs w:val="28"/>
        </w:rPr>
        <w:t xml:space="preserve">5. Titulización </w:t>
      </w:r>
    </w:p>
    <w:p w14:paraId="42E11815" w14:textId="77777777" w:rsidR="00991EB2" w:rsidRPr="00991EB2" w:rsidRDefault="00991EB2" w:rsidP="00BC5334">
      <w:pPr>
        <w:jc w:val="both"/>
      </w:pPr>
      <w:r w:rsidRPr="00C75D94">
        <w:t xml:space="preserve">17. El Comité Mixto de Titulización (CCCC) publicará su segundo informe sobre el funcionamiento del marco regulador de titulización en virtud del artículo 44 de la SECR en el cuarto trimestre de 2024. Por lo tanto, en 2025, el JCSC iniciará un trabajo de seguimiento sobre ese informe del JC, incluido cualquier asesoramiento técnico u opinión requeridos. </w:t>
      </w:r>
    </w:p>
    <w:p w14:paraId="5AB6A290" w14:textId="77777777" w:rsidR="00991EB2" w:rsidRPr="00991EB2" w:rsidRDefault="00991EB2" w:rsidP="00656855">
      <w:pPr>
        <w:jc w:val="both"/>
      </w:pPr>
      <w:r w:rsidRPr="00C75D94">
        <w:t xml:space="preserve">18. Además, el Comité Mixto de Control Económico y Social seguirá esforzándose por proporcionar un enfoque coherente a las cuestiones intersectoriales derivadas de la DESC y evaluará casos concretos en relación con la supervisión y la aplicación de la DESPEC. </w:t>
      </w:r>
    </w:p>
    <w:p w14:paraId="2B875651" w14:textId="77777777" w:rsidR="00991EB2" w:rsidRPr="00991EB2" w:rsidRDefault="00991EB2" w:rsidP="00656855">
      <w:pPr>
        <w:jc w:val="both"/>
      </w:pPr>
      <w:r w:rsidRPr="00C75D94">
        <w:t>19. El Comité Mixto de Derechos Económicos, Sociales y Culturales estará dispuesto a contribuir a las posibles propuestas legislativas sobre la revisión de la SECR.</w:t>
      </w:r>
    </w:p>
    <w:p w14:paraId="02071967" w14:textId="77777777" w:rsidR="00991EB2" w:rsidRPr="00991EB2" w:rsidRDefault="00991EB2" w:rsidP="00656855">
      <w:pPr>
        <w:jc w:val="both"/>
        <w:rPr>
          <w:rFonts w:ascii="Abadi" w:hAnsi="Abadi"/>
          <w:color w:val="0000CC"/>
          <w:sz w:val="28"/>
          <w:szCs w:val="28"/>
        </w:rPr>
      </w:pPr>
      <w:r w:rsidRPr="00C75D94">
        <w:rPr>
          <w:rFonts w:ascii="Abadi" w:hAnsi="Abadi"/>
          <w:color w:val="0000CC"/>
          <w:sz w:val="28"/>
          <w:szCs w:val="28"/>
        </w:rPr>
        <w:lastRenderedPageBreak/>
        <w:t xml:space="preserve">6. Conglomerados financieros </w:t>
      </w:r>
    </w:p>
    <w:p w14:paraId="65662BD4" w14:textId="77777777" w:rsidR="00991EB2" w:rsidRPr="00991EB2" w:rsidRDefault="00991EB2" w:rsidP="00656855">
      <w:pPr>
        <w:jc w:val="both"/>
      </w:pPr>
      <w:r w:rsidRPr="00C75D94">
        <w:t>20. Las AES seguirán garantizando la coherencia intersectorial del trabajo y alcanzando posiciones conjuntas en el ámbito de la supervisión de los conglomerados financieros, en virtud de la Directiva sobre conglomerados financieros (FICOD). A este respecto, las AES contribuirán a la revisión fundamental del FICOD por parte de la CE y a la actualización y publicación anuales de la lista de conglomerados financieros identificados. Otras tareas incluyen la implementación operativa de plantillas de informes para transacciones intragrupo (IGT) y concentración de riesgos (RC).</w:t>
      </w:r>
    </w:p>
    <w:p w14:paraId="1BAC52B1" w14:textId="77777777" w:rsidR="00991EB2" w:rsidRPr="00991EB2" w:rsidRDefault="00991EB2" w:rsidP="00656855">
      <w:pPr>
        <w:jc w:val="both"/>
        <w:rPr>
          <w:rFonts w:ascii="Abadi" w:hAnsi="Abadi"/>
          <w:color w:val="0000CC"/>
          <w:sz w:val="28"/>
          <w:szCs w:val="28"/>
        </w:rPr>
      </w:pPr>
      <w:r w:rsidRPr="00C75D94">
        <w:rPr>
          <w:rFonts w:ascii="Abadi" w:hAnsi="Abadi"/>
          <w:color w:val="0000CC"/>
          <w:sz w:val="28"/>
          <w:szCs w:val="28"/>
        </w:rPr>
        <w:t xml:space="preserve">7. Foro Europeo de Facilitadores de la Innovación (EFIF) </w:t>
      </w:r>
    </w:p>
    <w:p w14:paraId="3CECFF48" w14:textId="77777777" w:rsidR="00991EB2" w:rsidRPr="00991EB2" w:rsidRDefault="00991EB2" w:rsidP="00656855">
      <w:pPr>
        <w:jc w:val="both"/>
      </w:pPr>
      <w:r w:rsidRPr="00C75D94">
        <w:t>21. En el marco del Comité Mixto, las AES seguirán trabajando para reforzar la comunicación y la coordinación entre los facilitadores nacionales de la innovación a través del FEEF. Los detalles de las actividades del FEFI para 2025 se esbozarán en un programa de trabajo anual del FEFI más detallado que se presentará al Comité Mixto para su aprobación a finales de este año.</w:t>
      </w:r>
    </w:p>
    <w:p w14:paraId="6B0A42B9" w14:textId="77777777" w:rsidR="00991EB2" w:rsidRPr="00991EB2" w:rsidRDefault="00991EB2" w:rsidP="00656855">
      <w:pPr>
        <w:jc w:val="both"/>
        <w:rPr>
          <w:rFonts w:ascii="Abadi" w:hAnsi="Abadi"/>
          <w:color w:val="0000CC"/>
          <w:sz w:val="28"/>
          <w:szCs w:val="28"/>
        </w:rPr>
      </w:pPr>
      <w:r w:rsidRPr="00C75D94">
        <w:rPr>
          <w:rFonts w:ascii="Abadi" w:hAnsi="Abadi"/>
          <w:color w:val="0000CC"/>
          <w:sz w:val="28"/>
          <w:szCs w:val="28"/>
        </w:rPr>
        <w:t xml:space="preserve">8. Instituciones Externas de Evaluación de Crédito (ECAI) </w:t>
      </w:r>
    </w:p>
    <w:p w14:paraId="4B82E48C" w14:textId="302F86D4" w:rsidR="008D28FD" w:rsidRPr="00991EB2" w:rsidRDefault="00991EB2" w:rsidP="008D28FD">
      <w:pPr>
        <w:jc w:val="both"/>
      </w:pPr>
      <w:r w:rsidRPr="00C75D94">
        <w:t>22. Las AES continuarán llevando a cabo la labor reguladora de las ECAI, siguiendo el mandato del Comité Mixto en virtud del artículo 136 del Reglamento sobre requisitos de capital (RRC) de especificar y supervisar la correspondencia entre las evaluaciones crediticias pertinentes emitidas por una ECAI y los niveles de calidad crediticia establecidos en el RRC («mapeo»). Los mapeos previstos en el artículo 109 bis, apartado 1, de Solvencia II se modificarán en consecuencia para garantizar un uso coherente de las evaluaciones crediticias de las ECAI con arreglo al marco regulador bancario y de seguros.</w:t>
      </w:r>
    </w:p>
    <w:p w14:paraId="5F5B2CF2" w14:textId="47D82405" w:rsidR="008D28FD" w:rsidRPr="00991EB2" w:rsidRDefault="008D28FD" w:rsidP="008D28FD">
      <w:pPr>
        <w:jc w:val="both"/>
      </w:pPr>
    </w:p>
    <w:p w14:paraId="49EAA111" w14:textId="77777777" w:rsidR="008D28FD" w:rsidRPr="00991EB2" w:rsidRDefault="008D28FD" w:rsidP="008D28FD">
      <w:pPr>
        <w:jc w:val="both"/>
      </w:pPr>
    </w:p>
    <w:sectPr w:rsidR="008D28FD" w:rsidRPr="00991EB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8FD"/>
    <w:rsid w:val="0032268B"/>
    <w:rsid w:val="005C51FB"/>
    <w:rsid w:val="007B105C"/>
    <w:rsid w:val="008D28FD"/>
    <w:rsid w:val="00991EB2"/>
    <w:rsid w:val="00C75D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6ABF0"/>
  <w15:chartTrackingRefBased/>
  <w15:docId w15:val="{4F3A00E2-799D-43B8-839A-EE2FDAA97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D28FD"/>
    <w:rPr>
      <w:color w:val="0563C1" w:themeColor="hyperlink"/>
      <w:u w:val="single"/>
    </w:rPr>
  </w:style>
  <w:style w:type="character" w:styleId="Mencinsinresolver">
    <w:name w:val="Unresolved Mention"/>
    <w:basedOn w:val="Fuentedeprrafopredeter"/>
    <w:uiPriority w:val="99"/>
    <w:semiHidden/>
    <w:unhideWhenUsed/>
    <w:rsid w:val="008D28FD"/>
    <w:rPr>
      <w:color w:val="605E5C"/>
      <w:shd w:val="clear" w:color="auto" w:fill="E1DFDD"/>
    </w:rPr>
  </w:style>
  <w:style w:type="character" w:styleId="Hipervnculovisitado">
    <w:name w:val="FollowedHyperlink"/>
    <w:basedOn w:val="Fuentedeprrafopredeter"/>
    <w:uiPriority w:val="99"/>
    <w:semiHidden/>
    <w:unhideWhenUsed/>
    <w:rsid w:val="008D28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309149">
      <w:bodyDiv w:val="1"/>
      <w:marLeft w:val="0"/>
      <w:marRight w:val="0"/>
      <w:marTop w:val="0"/>
      <w:marBottom w:val="0"/>
      <w:divBdr>
        <w:top w:val="none" w:sz="0" w:space="0" w:color="auto"/>
        <w:left w:val="none" w:sz="0" w:space="0" w:color="auto"/>
        <w:bottom w:val="none" w:sz="0" w:space="0" w:color="auto"/>
        <w:right w:val="none" w:sz="0" w:space="0" w:color="auto"/>
      </w:divBdr>
      <w:divsChild>
        <w:div w:id="658384332">
          <w:marLeft w:val="0"/>
          <w:marRight w:val="0"/>
          <w:marTop w:val="0"/>
          <w:marBottom w:val="0"/>
          <w:divBdr>
            <w:top w:val="none" w:sz="0" w:space="0" w:color="auto"/>
            <w:left w:val="none" w:sz="0" w:space="0" w:color="auto"/>
            <w:bottom w:val="none" w:sz="0" w:space="0" w:color="auto"/>
            <w:right w:val="none" w:sz="0" w:space="0" w:color="auto"/>
          </w:divBdr>
        </w:div>
        <w:div w:id="424962058">
          <w:marLeft w:val="0"/>
          <w:marRight w:val="0"/>
          <w:marTop w:val="300"/>
          <w:marBottom w:val="300"/>
          <w:divBdr>
            <w:top w:val="none" w:sz="0" w:space="0" w:color="auto"/>
            <w:left w:val="none" w:sz="0" w:space="0" w:color="auto"/>
            <w:bottom w:val="none" w:sz="0" w:space="0" w:color="auto"/>
            <w:right w:val="none" w:sz="0" w:space="0" w:color="auto"/>
          </w:divBdr>
        </w:div>
        <w:div w:id="852184507">
          <w:marLeft w:val="0"/>
          <w:marRight w:val="0"/>
          <w:marTop w:val="600"/>
          <w:marBottom w:val="0"/>
          <w:divBdr>
            <w:top w:val="none" w:sz="0" w:space="0" w:color="auto"/>
            <w:left w:val="none" w:sz="0" w:space="0" w:color="auto"/>
            <w:bottom w:val="none" w:sz="0" w:space="0" w:color="auto"/>
            <w:right w:val="none" w:sz="0" w:space="0" w:color="auto"/>
          </w:divBdr>
          <w:divsChild>
            <w:div w:id="2082290343">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eu-financial-system/" TargetMode="External"/><Relationship Id="rId3" Type="http://schemas.openxmlformats.org/officeDocument/2006/relationships/webSettings" Target="webSettings.xml"/><Relationship Id="rId7" Type="http://schemas.openxmlformats.org/officeDocument/2006/relationships/hyperlink" Target="https://www.xbrl.org/tag/sustainability-discolsur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iopa.europa.eu/publications/2025-work-programme-joint-committee-european-supervisory-authorities_en" TargetMode="External"/><Relationship Id="rId11" Type="http://schemas.openxmlformats.org/officeDocument/2006/relationships/fontTable" Target="fontTable.xml"/><Relationship Id="rId5" Type="http://schemas.openxmlformats.org/officeDocument/2006/relationships/hyperlink" Target="https://www.xbrl.org/news/esas-joint-committee-prioritises-digital-resilience-and-sustainability-in-2025/" TargetMode="External"/><Relationship Id="rId10"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hyperlink" Target="https://www.xbrl.org/tag/es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1791</Words>
  <Characters>9852</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4</cp:revision>
  <dcterms:created xsi:type="dcterms:W3CDTF">2024-10-17T02:51:00Z</dcterms:created>
  <dcterms:modified xsi:type="dcterms:W3CDTF">2024-11-26T03:08:00Z</dcterms:modified>
</cp:coreProperties>
</file>