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CCEE" w14:textId="1A555140" w:rsidR="00645645" w:rsidRPr="00551F7D" w:rsidRDefault="00645645" w:rsidP="00645645">
      <w:pPr>
        <w:jc w:val="both"/>
        <w:rPr>
          <w:rFonts w:ascii="Abadi" w:hAnsi="Abadi"/>
          <w:sz w:val="26"/>
          <w:szCs w:val="26"/>
        </w:rPr>
      </w:pPr>
      <w:r w:rsidRPr="00551F7D">
        <w:rPr>
          <w:rFonts w:ascii="Abadi" w:hAnsi="Abadi"/>
          <w:sz w:val="26"/>
          <w:szCs w:val="26"/>
        </w:rPr>
        <w:t>La E</w:t>
      </w:r>
      <w:r w:rsidR="00551F7D" w:rsidRPr="00551F7D">
        <w:rPr>
          <w:rFonts w:ascii="Abadi" w:hAnsi="Abadi"/>
          <w:sz w:val="26"/>
          <w:szCs w:val="26"/>
        </w:rPr>
        <w:t>SMA</w:t>
      </w:r>
      <w:r w:rsidRPr="00551F7D">
        <w:rPr>
          <w:rFonts w:ascii="Abadi" w:hAnsi="Abadi"/>
          <w:sz w:val="26"/>
          <w:szCs w:val="26"/>
        </w:rPr>
        <w:t xml:space="preserve"> incluye el lavado verde en las prioridades de las finanzas sostenibles</w:t>
      </w:r>
    </w:p>
    <w:p w14:paraId="1596B86E" w14:textId="38E4F545" w:rsidR="00645645" w:rsidRPr="00645645" w:rsidRDefault="00645645" w:rsidP="00645645">
      <w:pPr>
        <w:jc w:val="both"/>
      </w:pPr>
      <w:r w:rsidRPr="00645645">
        <w:rPr>
          <w:noProof/>
        </w:rPr>
        <w:drawing>
          <wp:inline distT="0" distB="0" distL="0" distR="0" wp14:anchorId="5D5A225A" wp14:editId="253C1EBE">
            <wp:extent cx="1112807" cy="1112807"/>
            <wp:effectExtent l="0" t="0" r="0" b="0"/>
            <wp:docPr id="1" name="Imagen 1" descr="espaci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cio en blanc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7998" cy="1117998"/>
                    </a:xfrm>
                    <a:prstGeom prst="rect">
                      <a:avLst/>
                    </a:prstGeom>
                    <a:noFill/>
                    <a:ln>
                      <a:noFill/>
                    </a:ln>
                  </pic:spPr>
                </pic:pic>
              </a:graphicData>
            </a:graphic>
          </wp:inline>
        </w:drawing>
      </w:r>
    </w:p>
    <w:p w14:paraId="522E1200" w14:textId="16BFC11F" w:rsidR="00645645" w:rsidRPr="00645645" w:rsidRDefault="00645645" w:rsidP="00645645">
      <w:pPr>
        <w:jc w:val="both"/>
      </w:pPr>
      <w:r w:rsidRPr="00645645">
        <w:t>Por</w:t>
      </w:r>
      <w:r>
        <w:t xml:space="preserve">: </w:t>
      </w:r>
      <w:hyperlink r:id="rId5" w:tooltip="Posts by Emmy Hawker" w:history="1">
        <w:r w:rsidRPr="00645645">
          <w:rPr>
            <w:rStyle w:val="Hipervnculo"/>
          </w:rPr>
          <w:t>Emmy Hawker</w:t>
        </w:r>
      </w:hyperlink>
    </w:p>
    <w:p w14:paraId="50CE6665" w14:textId="77777777" w:rsidR="00645645" w:rsidRPr="00645645" w:rsidRDefault="00645645" w:rsidP="00645645">
      <w:pPr>
        <w:jc w:val="both"/>
      </w:pPr>
      <w:r w:rsidRPr="00645645">
        <w:t>3 de octubre de 2024</w:t>
      </w:r>
    </w:p>
    <w:p w14:paraId="193B0D61" w14:textId="37E08E4B" w:rsidR="00645645" w:rsidRPr="00645645" w:rsidRDefault="00645645" w:rsidP="00645645">
      <w:pPr>
        <w:jc w:val="both"/>
      </w:pPr>
      <w:r w:rsidRPr="00645645">
        <w:t>La Autoridad Europea de Valores y Mercados (ESMA, por sus siglas en inglés), organismo de control de los servicios financieros de la UE, ha publicado su</w:t>
      </w:r>
      <w:r w:rsidR="006E7241">
        <w:t xml:space="preserve"> </w:t>
      </w:r>
      <w:hyperlink r:id="rId6" w:tgtFrame="_blank" w:history="1">
        <w:r w:rsidRPr="00645645">
          <w:rPr>
            <w:rStyle w:val="Hipervnculo"/>
            <w:b/>
            <w:bCs/>
          </w:rPr>
          <w:t>plan de trabajo</w:t>
        </w:r>
      </w:hyperlink>
      <w:r w:rsidR="006E7241">
        <w:t xml:space="preserve"> </w:t>
      </w:r>
      <w:r w:rsidRPr="00645645">
        <w:t>para 2025, que incluye sus prioridades relacionadas con las finanzas sostenibles. La AEVM tiene la intención de aprovechar su trabajo sobre los riesgos de blanqueo verde logrado durante 2022-24 aclarando aún más las expectativas supervisoras, desarrollando herramientas que permitan a los supervisores abordar mejor los riesgos relacionados y mejorando la eficacia y la calidad de la divulgación de información ESG. "La AEVM colaborará con las ANC [autoridades nacionales competentes] participantes para apoyar el desarrollo de herramientas y metodologías de supervisión para detectar y abordar posibles prácticas de lavado verde por parte de los participantes supervisados en los mercados financieros", se lee en el informe. La AEVM también supervisará la aplicación de directrices, como las normas sobre los nombres de los fondos. Además, el organismo de control esbozó planes para desarrollar normas técnicas y orientación adicional sobre varios aspectos relacionados con el Reglamento de Bonos Verdes, MiFID II, la Directiva de Informes de Sostenibilidad Corporativa y el Reglamento de Índices de Referencia. "La ESMA, junto con las otras ESA [Autoridades Europeas de principales impactos adversos en el Reglamento de Divulgación de Finanzas Sostenibles (SFDR) [y] puede proporcionar orientación y preguntas y respuestas para las divulgaciones de sostenibilidad en virtud del SFDR", dijo, señalando que la evaluación y revisión de la regulación por parte de la Comisión Europea puede generar solicitudes de asesoramiento de la ESMA. Para apoyar los esfuerzos de transición más amplios de la UE, la AEVM tiene la intención de supervisar las iniciativas relacionadas con la financiación de la transición y publicará orientaciones sobre el desarrollo de capacidades para promover un marco eficaz y coherente.</w:t>
      </w:r>
    </w:p>
    <w:p w14:paraId="139DE0D5" w14:textId="561AC091" w:rsidR="001E3794" w:rsidRDefault="001E3794" w:rsidP="00645645">
      <w:pPr>
        <w:jc w:val="both"/>
      </w:pPr>
    </w:p>
    <w:p w14:paraId="5B5A5CFB" w14:textId="77777777" w:rsidR="00551F7D" w:rsidRDefault="00551F7D" w:rsidP="00645645">
      <w:pPr>
        <w:jc w:val="both"/>
      </w:pPr>
    </w:p>
    <w:p w14:paraId="796615EF" w14:textId="10FECB88" w:rsidR="00645645" w:rsidRDefault="00645645" w:rsidP="00645645">
      <w:pPr>
        <w:jc w:val="both"/>
      </w:pPr>
    </w:p>
    <w:p w14:paraId="19D2DD2D" w14:textId="497BC6BD" w:rsidR="006E7241" w:rsidRDefault="006E7241" w:rsidP="00645645">
      <w:pPr>
        <w:jc w:val="both"/>
      </w:pPr>
    </w:p>
    <w:p w14:paraId="2C840DC3" w14:textId="6110C828" w:rsidR="006E7241" w:rsidRDefault="006E7241" w:rsidP="00645645">
      <w:pPr>
        <w:jc w:val="both"/>
      </w:pPr>
    </w:p>
    <w:p w14:paraId="5BDB89F6" w14:textId="10487DA2" w:rsidR="006E7241" w:rsidRDefault="006E7241" w:rsidP="00645645">
      <w:pPr>
        <w:jc w:val="both"/>
      </w:pPr>
    </w:p>
    <w:p w14:paraId="48086C78" w14:textId="06360F6A" w:rsidR="006E7241" w:rsidRDefault="006E7241" w:rsidP="00645645">
      <w:pPr>
        <w:jc w:val="both"/>
      </w:pPr>
    </w:p>
    <w:p w14:paraId="62FA047C" w14:textId="77777777" w:rsidR="006E7241" w:rsidRDefault="006E7241" w:rsidP="00645645">
      <w:pPr>
        <w:jc w:val="both"/>
      </w:pPr>
    </w:p>
    <w:p w14:paraId="589DD580" w14:textId="67988D22" w:rsidR="00B4723C" w:rsidRPr="00551F7D" w:rsidRDefault="00B4723C" w:rsidP="00745686">
      <w:pPr>
        <w:jc w:val="both"/>
        <w:rPr>
          <w:color w:val="002060"/>
          <w:sz w:val="26"/>
          <w:szCs w:val="26"/>
        </w:rPr>
      </w:pPr>
      <w:r w:rsidRPr="00551F7D">
        <w:rPr>
          <w:color w:val="002060"/>
          <w:sz w:val="26"/>
          <w:szCs w:val="26"/>
        </w:rPr>
        <w:lastRenderedPageBreak/>
        <w:t>Prólogo</w:t>
      </w:r>
    </w:p>
    <w:p w14:paraId="3A147C39" w14:textId="77777777" w:rsidR="00B4723C" w:rsidRPr="00B4723C" w:rsidRDefault="00B4723C" w:rsidP="00745686">
      <w:pPr>
        <w:jc w:val="both"/>
      </w:pPr>
      <w:r w:rsidRPr="00B4723C">
        <w:t>En octubre de 2022, la Autoridad Europea de Valores y Mercados (AEVM) publicó su Estrategia plurianual para el periodo 2023-281 (Estrategia AEVM), que establece tres prioridades estratégicas y dos impulsores temáticos, como se ilustra en la figura siguiente. El Programa de Trabajo Anual de la AEVM para 2025 se estructura en torno a la implementación de la Estrategia de la AEVM, cumpliendo los mandatos de la AEVM y basándose en las actividades ejecutadas en 2023-2024.</w:t>
      </w:r>
    </w:p>
    <w:p w14:paraId="56E7A66A" w14:textId="26B43ACD" w:rsidR="00B4723C" w:rsidRDefault="00B4723C" w:rsidP="00645645">
      <w:pPr>
        <w:jc w:val="both"/>
        <w:rPr>
          <w:lang w:val="en-US"/>
        </w:rPr>
      </w:pPr>
      <w:r w:rsidRPr="00B4723C">
        <w:rPr>
          <w:noProof/>
          <w:lang w:val="en-US"/>
        </w:rPr>
        <w:drawing>
          <wp:inline distT="0" distB="0" distL="0" distR="0" wp14:anchorId="543E00D9" wp14:editId="02B9A324">
            <wp:extent cx="5612130" cy="2359025"/>
            <wp:effectExtent l="0" t="0" r="762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2359025"/>
                    </a:xfrm>
                    <a:prstGeom prst="rect">
                      <a:avLst/>
                    </a:prstGeom>
                  </pic:spPr>
                </pic:pic>
              </a:graphicData>
            </a:graphic>
          </wp:inline>
        </w:drawing>
      </w:r>
    </w:p>
    <w:p w14:paraId="76928DA4" w14:textId="77777777" w:rsidR="00B4723C" w:rsidRPr="00B4723C" w:rsidRDefault="00B4723C" w:rsidP="00296057">
      <w:pPr>
        <w:jc w:val="both"/>
      </w:pPr>
      <w:r w:rsidRPr="00B4723C">
        <w:t>La AEVM ha publicado recientemente un documento de posición2 en el que se esbozan recomendaciones sobre cómo reforzar los mercados de capitales de la Unión Europea (UE), centrándose en tres áreas clave: los ciudadanos, las empresas y el marco regulador y de supervisión de la UE. En 2025, la AEVM comenzará a trabajar en los aspectos que estén bajo su control, al tiempo que trabajará con colegisladores y otras entidades para apoyar la construcción de la Unión Europea de los Mercados de Capitales.</w:t>
      </w:r>
    </w:p>
    <w:p w14:paraId="6F50D133" w14:textId="77777777" w:rsidR="00B4723C" w:rsidRPr="00B4723C" w:rsidRDefault="00B4723C" w:rsidP="00296057">
      <w:pPr>
        <w:jc w:val="both"/>
      </w:pPr>
      <w:r w:rsidRPr="00B4723C">
        <w:t>Como parte de este trabajo, la AEVM proseguirá sus esfuerzos para racionalizar las normas existentes y reducir la burocracia cuando sea posible con el fin de hacer que el marco regulador sea más ágil y, por lo tanto, reducir la carga de cumplimiento para las empresas. La AEVM seguirá colaborando con la industria y otras partes interesadas para identificar continuamente las áreas de mejora.</w:t>
      </w:r>
    </w:p>
    <w:p w14:paraId="0A767EDA" w14:textId="77777777" w:rsidR="00B4723C" w:rsidRPr="00B4723C" w:rsidRDefault="00B4723C" w:rsidP="00296057">
      <w:pPr>
        <w:jc w:val="both"/>
      </w:pPr>
      <w:r w:rsidRPr="00B4723C">
        <w:t>La AEVM también tendrá en cuenta la nueva agenda de la Comisión, después de las elecciones de 2024, al tiempo que mantendrá su compromiso con las prioridades actuales.</w:t>
      </w:r>
    </w:p>
    <w:p w14:paraId="7EED2544" w14:textId="1B9F893A" w:rsidR="00B4723C" w:rsidRPr="00551F7D" w:rsidRDefault="00B4723C" w:rsidP="00296057">
      <w:pPr>
        <w:jc w:val="both"/>
        <w:rPr>
          <w:rFonts w:ascii="Abadi" w:hAnsi="Abadi"/>
          <w:color w:val="002060"/>
          <w:sz w:val="24"/>
          <w:szCs w:val="24"/>
        </w:rPr>
      </w:pPr>
      <w:r w:rsidRPr="00551F7D">
        <w:rPr>
          <w:rFonts w:ascii="Abadi" w:hAnsi="Abadi"/>
          <w:color w:val="002060"/>
          <w:sz w:val="24"/>
          <w:szCs w:val="24"/>
        </w:rPr>
        <w:t>Contexto actual del mercado</w:t>
      </w:r>
    </w:p>
    <w:p w14:paraId="6ABBAB1F" w14:textId="77777777" w:rsidR="00B4723C" w:rsidRPr="00B4723C" w:rsidRDefault="00B4723C" w:rsidP="00296057">
      <w:pPr>
        <w:jc w:val="both"/>
      </w:pPr>
      <w:r w:rsidRPr="00B4723C">
        <w:t>El programa de trabajo de la AEVM para 2025 tiene como objetivo abordar los retos persistentes a los que se enfrentan la UE, sus ciudadanos y los mercados de capitales en un contexto económico marcado por las transiciones regulatorias y la evolución del impacto de la tecnología.</w:t>
      </w:r>
    </w:p>
    <w:p w14:paraId="3CA0A332" w14:textId="77777777" w:rsidR="00B4723C" w:rsidRPr="00B4723C" w:rsidRDefault="00B4723C" w:rsidP="00296057">
      <w:pPr>
        <w:jc w:val="both"/>
      </w:pPr>
      <w:r w:rsidRPr="00B4723C">
        <w:t xml:space="preserve">Con la mejora de las perspectivas inflacionistas y los niveles de tipos de interés previstos, se ha producido un retorno al comportamiento de búsqueda de rendimientos y un sólido rendimiento del mercado a principios de 2024. Sin embargo, como se ha visto en los estallidos de volatilidad del verano, los mercados siguen siendo muy sensibles a la evolución en un contexto de incertidumbres </w:t>
      </w:r>
      <w:r w:rsidRPr="00B4723C">
        <w:lastRenderedPageBreak/>
        <w:t>económicas y geopolíticas continuas. Esto requiere una mayor vigilancia por parte de la AEVM para identificar y mitigar los riesgos emergentes de manera efectiva.</w:t>
      </w:r>
    </w:p>
    <w:p w14:paraId="31DA5A5A" w14:textId="77777777" w:rsidR="00B4723C" w:rsidRPr="00B4723C" w:rsidRDefault="00B4723C" w:rsidP="00A046C3">
      <w:pPr>
        <w:jc w:val="both"/>
      </w:pPr>
      <w:r w:rsidRPr="00B4723C">
        <w:t>Frente a estos desafíos, se renueva la urgencia de reforzar los mercados de capitales en la UE. Sobre la base del documento de posición de la AEVM sobre la creación de mercados de capitales más eficaces y atractivos en la UE, la AEVM seguirá impulsando avances en la remodelación de nuestros mercados de capitales para poder satisfacer las necesidades de financiación de la UE, en particular en lo que respecta a las transiciones ecológica y digital.</w:t>
      </w:r>
    </w:p>
    <w:p w14:paraId="20C90564" w14:textId="77777777" w:rsidR="00B4723C" w:rsidRPr="00B4723C" w:rsidRDefault="00B4723C" w:rsidP="00A046C3">
      <w:pPr>
        <w:jc w:val="both"/>
      </w:pPr>
      <w:r w:rsidRPr="00B4723C">
        <w:t>Por lo que se refiere a la transición ecológica y digital, el trabajo específico en estos ámbitos sigue siendo prioritario para la AEVM. En 2025, la AEVM intensificará su atención en la aplicación del marco jurídico y de supervisión de las finanzas sostenibles, la lucha contra el blanqueo verde y la promoción de la transparencia en las inversiones sostenibles. En el ámbito digital, la AEVM se centrará en la innovación financiera, en particular en el ámbito de la inteligencia artificial (IA), con el objetivo de garantizar la protección de los inversores y la integridad del mercado. El panorama regulatorio está experimentando cambios significativos. La entrada en vigor de la Ley de Resiliencia Operativa Digital (DORA) en 2025 requiere un enfoque de supervisión sólido para garantizar la resiliencia de los servicios financieros críticos frente a las amenazas digitales. La aplicación del Reglamento sobre los Mercados de Criptoactivos (MiCA) exige la experiencia de la AEVM para establecer una supervisión eficaz y convergente en toda la UE en relación con este nuevo régimen regulatorio.</w:t>
      </w:r>
    </w:p>
    <w:p w14:paraId="5AE086DF" w14:textId="77777777" w:rsidR="00B4723C" w:rsidRPr="00B4723C" w:rsidRDefault="00B4723C" w:rsidP="00A046C3">
      <w:pPr>
        <w:jc w:val="both"/>
      </w:pPr>
      <w:r w:rsidRPr="00B4723C">
        <w:t>En 2025, la AEVM también se centrará en mejorar la cooperación transfronteriza entre los supervisores de la UE, mejorar la calidad de los datos y aprovechar la tecnología para racionalizar la supervisión. El objetivo es fomentar un sistema financiero europeo resiliente, transparente y sostenible que atienda las necesidades de todas las partes interesadas. Además, la AEVM seguirá desarrollando su centro de datos para proporcionar una plataforma compartida a sus partes interesadas y finalizará los preparativos para poner en marcha la primera fase del Punto de Acceso Único Europeo (PAAS) en 2026, con el objetivo de crear una plataforma centralizada para facilitar el acceso a los datos públicos y a la información sobre los mercados de valores.</w:t>
      </w:r>
    </w:p>
    <w:p w14:paraId="4E7D75EA" w14:textId="77777777" w:rsidR="00B4723C" w:rsidRPr="00B4723C" w:rsidRDefault="00B4723C" w:rsidP="00A2732A">
      <w:pPr>
        <w:jc w:val="both"/>
      </w:pPr>
      <w:r w:rsidRPr="00B4723C">
        <w:t>Por último, la evolución de los ciclos de liquidación a nivel internacional y la tendencia observada de los ciclos de liquidación T+2 a T+1 está afectando a la forma en que operan los interesados. La AEVM debe publicar antes de finales de 2024 su informe sobre el acortamiento del ciclo de liquidación en la UE. A continuación, es probable que en 2025 la AEVM continúe trabajando en este expediente mediante una participación activa en el trabajo preparatorio y la coordinación con las partes interesadas pertinentes del sector público y privado para acortar el ciclo de liquidación de acuerdo con la hoja de ruta que se propondrá en el informe de la AEVM.</w:t>
      </w:r>
    </w:p>
    <w:p w14:paraId="3E21651B" w14:textId="7C97375C" w:rsidR="00B4723C" w:rsidRPr="00551F7D" w:rsidRDefault="00B4723C" w:rsidP="00A2732A">
      <w:pPr>
        <w:jc w:val="both"/>
        <w:rPr>
          <w:rFonts w:ascii="Abadi" w:hAnsi="Abadi"/>
          <w:color w:val="002060"/>
          <w:sz w:val="24"/>
          <w:szCs w:val="24"/>
        </w:rPr>
      </w:pPr>
      <w:r w:rsidRPr="00551F7D">
        <w:rPr>
          <w:rFonts w:ascii="Abadi" w:hAnsi="Abadi"/>
          <w:color w:val="002060"/>
          <w:sz w:val="24"/>
          <w:szCs w:val="24"/>
        </w:rPr>
        <w:t>Nuevos expedientes legislativos clave que afectarán a la AEVM en 2025</w:t>
      </w:r>
    </w:p>
    <w:p w14:paraId="2B8FDE29" w14:textId="77777777" w:rsidR="00B4723C" w:rsidRPr="00B4723C" w:rsidRDefault="00B4723C" w:rsidP="003039D6">
      <w:pPr>
        <w:jc w:val="both"/>
      </w:pPr>
      <w:r w:rsidRPr="00B4723C">
        <w:t xml:space="preserve">Más allá de apoyar la transición de la UE hacia una economía más verde y sostenible y abordar el impacto de la digitalización y la tecnología en el ámbito de los mercados financieros, la AEVM se comprometerá a hacer que los mercados de capitales de la UE sean más eficaces y eficientes. A tal fin, la AEVM llevará a cabo las misiones que le encomiende tras el resultado de las negociaciones legislativas alcanzadas durante la última legislatura. Los colegisladores de la UE alcanzaron acuerdos políticos durante el período 2019-2024 sobre las revisiones del Reglamento Europeo sobre </w:t>
      </w:r>
      <w:r w:rsidRPr="00B4723C">
        <w:lastRenderedPageBreak/>
        <w:t xml:space="preserve">Infraestructuras de Mercado (EMIR), el Reglamento sobre Mercados de Instrumentos Financieros (MiFIR) y la Directiva sobre Mercados de Instrumentos Financieros (MiFID), los Organismos de Inversión Colectiva en Valores Mobiliarios (OICVM), la Directiva sobre la Directiva sobre Gestores de Fondos de Inversión Alternativos (GFIA) y los Reglamentos sobre los Fondos de Inversión a Largo Plazo (FILPE). Los colegisladores de la UE también alcanzaron acuerdos sobre nuevos expedientes legislativos, como MiCA, DORA, el PAAS, la Ley de Cotización y los Reglamentos de Bonos Verdes de la UE y de Calificaciones ESG. En virtud de todos estos expedientes legislativos, la AEVM debe cumplir una serie de importantes mandatos técnicos en los próximos años. Las responsabilidades actuales de la AEVM como supervisor y centro de datos también crecerán significativamente, en particular a través de la selección, autorización y supervisión de los proveedores de información consolidada (CTP), el desarrollo del PAAS y las nuevas responsabilidades de supervisión en virtud de la regulación de los bonos verdes de la UE y las responsabilidades de supervisión conjuntamente con las demás Autoridades Europeas de Supervisión (ESA) en virtud de DORA </w:t>
      </w:r>
    </w:p>
    <w:p w14:paraId="494AA170" w14:textId="77777777" w:rsidR="00B4723C" w:rsidRPr="00B4723C" w:rsidRDefault="00B4723C" w:rsidP="003039D6">
      <w:pPr>
        <w:jc w:val="both"/>
      </w:pPr>
      <w:r w:rsidRPr="00B4723C">
        <w:t>Los proyectos legislativos en curso y futuros, incluida la Estrategia de Inversión Minorista, seguirán dando forma al trabajo y las responsabilidades de la AEVM en los próximos años. El calendario exacto de los resultados asociados dependerá del resultado de las negociaciones entre los colegisladores y, en particular, de las prioridades políticas del Consejo y de la Comisión Europea (CE) y el Parlamento Europeo entrantes.</w:t>
      </w:r>
    </w:p>
    <w:p w14:paraId="7D3438E5" w14:textId="77777777" w:rsidR="00B4723C" w:rsidRPr="00B4723C" w:rsidRDefault="00B4723C" w:rsidP="00645645">
      <w:pPr>
        <w:jc w:val="both"/>
      </w:pPr>
    </w:p>
    <w:sectPr w:rsidR="00B4723C" w:rsidRPr="00B472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45"/>
    <w:rsid w:val="001E3794"/>
    <w:rsid w:val="002B7066"/>
    <w:rsid w:val="00551F7D"/>
    <w:rsid w:val="00645645"/>
    <w:rsid w:val="006E7241"/>
    <w:rsid w:val="00B4723C"/>
    <w:rsid w:val="00C82E8A"/>
    <w:rsid w:val="00EF20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9439"/>
  <w15:chartTrackingRefBased/>
  <w15:docId w15:val="{A52ED23A-E905-46B4-9EE0-301E9BA2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5645"/>
    <w:rPr>
      <w:color w:val="0563C1" w:themeColor="hyperlink"/>
      <w:u w:val="single"/>
    </w:rPr>
  </w:style>
  <w:style w:type="character" w:styleId="Mencinsinresolver">
    <w:name w:val="Unresolved Mention"/>
    <w:basedOn w:val="Fuentedeprrafopredeter"/>
    <w:uiPriority w:val="99"/>
    <w:semiHidden/>
    <w:unhideWhenUsed/>
    <w:rsid w:val="00645645"/>
    <w:rPr>
      <w:color w:val="605E5C"/>
      <w:shd w:val="clear" w:color="auto" w:fill="E1DFDD"/>
    </w:rPr>
  </w:style>
  <w:style w:type="character" w:styleId="Hipervnculovisitado">
    <w:name w:val="FollowedHyperlink"/>
    <w:basedOn w:val="Fuentedeprrafopredeter"/>
    <w:uiPriority w:val="99"/>
    <w:semiHidden/>
    <w:unhideWhenUsed/>
    <w:rsid w:val="00B472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994779">
      <w:bodyDiv w:val="1"/>
      <w:marLeft w:val="0"/>
      <w:marRight w:val="0"/>
      <w:marTop w:val="0"/>
      <w:marBottom w:val="0"/>
      <w:divBdr>
        <w:top w:val="none" w:sz="0" w:space="0" w:color="auto"/>
        <w:left w:val="none" w:sz="0" w:space="0" w:color="auto"/>
        <w:bottom w:val="none" w:sz="0" w:space="0" w:color="auto"/>
        <w:right w:val="none" w:sz="0" w:space="0" w:color="auto"/>
      </w:divBdr>
      <w:divsChild>
        <w:div w:id="830019932">
          <w:marLeft w:val="0"/>
          <w:marRight w:val="0"/>
          <w:marTop w:val="150"/>
          <w:marBottom w:val="0"/>
          <w:divBdr>
            <w:top w:val="none" w:sz="0" w:space="0" w:color="auto"/>
            <w:left w:val="none" w:sz="0" w:space="0" w:color="auto"/>
            <w:bottom w:val="none" w:sz="0" w:space="0" w:color="auto"/>
            <w:right w:val="none" w:sz="0" w:space="0" w:color="auto"/>
          </w:divBdr>
          <w:divsChild>
            <w:div w:id="1853756655">
              <w:marLeft w:val="-1050"/>
              <w:marRight w:val="0"/>
              <w:marTop w:val="0"/>
              <w:marBottom w:val="0"/>
              <w:divBdr>
                <w:top w:val="none" w:sz="0" w:space="0" w:color="auto"/>
                <w:left w:val="none" w:sz="0" w:space="0" w:color="auto"/>
                <w:bottom w:val="none" w:sz="0" w:space="0" w:color="auto"/>
                <w:right w:val="none" w:sz="0" w:space="0" w:color="auto"/>
              </w:divBdr>
              <w:divsChild>
                <w:div w:id="1149446985">
                  <w:marLeft w:val="0"/>
                  <w:marRight w:val="300"/>
                  <w:marTop w:val="0"/>
                  <w:marBottom w:val="0"/>
                  <w:divBdr>
                    <w:top w:val="none" w:sz="0" w:space="0" w:color="auto"/>
                    <w:left w:val="none" w:sz="0" w:space="0" w:color="auto"/>
                    <w:bottom w:val="none" w:sz="0" w:space="0" w:color="auto"/>
                    <w:right w:val="none" w:sz="0" w:space="0" w:color="auto"/>
                  </w:divBdr>
                </w:div>
                <w:div w:id="1184444809">
                  <w:marLeft w:val="1050"/>
                  <w:marRight w:val="0"/>
                  <w:marTop w:val="0"/>
                  <w:marBottom w:val="0"/>
                  <w:divBdr>
                    <w:top w:val="none" w:sz="0" w:space="0" w:color="auto"/>
                    <w:left w:val="none" w:sz="0" w:space="0" w:color="auto"/>
                    <w:bottom w:val="none" w:sz="0" w:space="0" w:color="auto"/>
                    <w:right w:val="none" w:sz="0" w:space="0" w:color="auto"/>
                  </w:divBdr>
                  <w:divsChild>
                    <w:div w:id="1563834964">
                      <w:marLeft w:val="0"/>
                      <w:marRight w:val="0"/>
                      <w:marTop w:val="75"/>
                      <w:marBottom w:val="0"/>
                      <w:divBdr>
                        <w:top w:val="none" w:sz="0" w:space="0" w:color="auto"/>
                        <w:left w:val="none" w:sz="0" w:space="0" w:color="auto"/>
                        <w:bottom w:val="none" w:sz="0" w:space="0" w:color="auto"/>
                        <w:right w:val="none" w:sz="0" w:space="0" w:color="auto"/>
                      </w:divBdr>
                      <w:divsChild>
                        <w:div w:id="570045972">
                          <w:marLeft w:val="0"/>
                          <w:marRight w:val="0"/>
                          <w:marTop w:val="0"/>
                          <w:marBottom w:val="75"/>
                          <w:divBdr>
                            <w:top w:val="none" w:sz="0" w:space="0" w:color="auto"/>
                            <w:left w:val="none" w:sz="0" w:space="0" w:color="auto"/>
                            <w:bottom w:val="single" w:sz="6" w:space="4" w:color="DDDDDD"/>
                            <w:right w:val="none" w:sz="0" w:space="0" w:color="auto"/>
                          </w:divBdr>
                          <w:divsChild>
                            <w:div w:id="656810991">
                              <w:marLeft w:val="0"/>
                              <w:marRight w:val="0"/>
                              <w:marTop w:val="0"/>
                              <w:marBottom w:val="0"/>
                              <w:divBdr>
                                <w:top w:val="none" w:sz="0" w:space="0" w:color="auto"/>
                                <w:left w:val="none" w:sz="0" w:space="0" w:color="auto"/>
                                <w:bottom w:val="none" w:sz="0" w:space="0" w:color="auto"/>
                                <w:right w:val="none" w:sz="0" w:space="0" w:color="auto"/>
                              </w:divBdr>
                            </w:div>
                          </w:divsChild>
                        </w:div>
                        <w:div w:id="9144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16553">
          <w:marLeft w:val="0"/>
          <w:marRight w:val="0"/>
          <w:marTop w:val="0"/>
          <w:marBottom w:val="0"/>
          <w:divBdr>
            <w:top w:val="none" w:sz="0" w:space="0" w:color="auto"/>
            <w:left w:val="none" w:sz="0" w:space="0" w:color="auto"/>
            <w:bottom w:val="none" w:sz="0" w:space="0" w:color="auto"/>
            <w:right w:val="none" w:sz="0" w:space="0" w:color="auto"/>
          </w:divBdr>
          <w:divsChild>
            <w:div w:id="1665695017">
              <w:marLeft w:val="0"/>
              <w:marRight w:val="0"/>
              <w:marTop w:val="0"/>
              <w:marBottom w:val="0"/>
              <w:divBdr>
                <w:top w:val="none" w:sz="0" w:space="0" w:color="auto"/>
                <w:left w:val="none" w:sz="0" w:space="0" w:color="auto"/>
                <w:bottom w:val="none" w:sz="0" w:space="0" w:color="auto"/>
                <w:right w:val="none" w:sz="0" w:space="0" w:color="auto"/>
              </w:divBdr>
              <w:divsChild>
                <w:div w:id="961225463">
                  <w:marLeft w:val="0"/>
                  <w:marRight w:val="0"/>
                  <w:marTop w:val="0"/>
                  <w:marBottom w:val="0"/>
                  <w:divBdr>
                    <w:top w:val="none" w:sz="0" w:space="0" w:color="auto"/>
                    <w:left w:val="none" w:sz="0" w:space="0" w:color="auto"/>
                    <w:bottom w:val="none" w:sz="0" w:space="0" w:color="auto"/>
                    <w:right w:val="none" w:sz="0" w:space="0" w:color="auto"/>
                  </w:divBdr>
                  <w:divsChild>
                    <w:div w:id="79179597">
                      <w:marLeft w:val="0"/>
                      <w:marRight w:val="0"/>
                      <w:marTop w:val="0"/>
                      <w:marBottom w:val="0"/>
                      <w:divBdr>
                        <w:top w:val="none" w:sz="0" w:space="0" w:color="auto"/>
                        <w:left w:val="none" w:sz="0" w:space="0" w:color="auto"/>
                        <w:bottom w:val="none" w:sz="0" w:space="0" w:color="auto"/>
                        <w:right w:val="none" w:sz="0" w:space="0" w:color="auto"/>
                      </w:divBdr>
                      <w:divsChild>
                        <w:div w:id="18706794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ma.europa.eu/sites/default/files/2024-10/ESMA22-50751485-1488_Annual_Work_Programme_2025.pdf" TargetMode="External"/><Relationship Id="rId5" Type="http://schemas.openxmlformats.org/officeDocument/2006/relationships/hyperlink" Target="https://www.esginvestor.net/author/emmyhawke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1538</Words>
  <Characters>8462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8</cp:revision>
  <dcterms:created xsi:type="dcterms:W3CDTF">2024-10-10T03:38:00Z</dcterms:created>
  <dcterms:modified xsi:type="dcterms:W3CDTF">2024-11-26T03:25:00Z</dcterms:modified>
</cp:coreProperties>
</file>