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FE3C5" w14:textId="3960FC4F" w:rsidR="00E27B0C" w:rsidRPr="007D22B8" w:rsidRDefault="00E27B0C" w:rsidP="00E27B0C">
      <w:pPr>
        <w:jc w:val="both"/>
        <w:rPr>
          <w:rFonts w:ascii="Abadi" w:hAnsi="Abadi"/>
          <w:sz w:val="32"/>
          <w:szCs w:val="32"/>
        </w:rPr>
      </w:pPr>
      <w:r w:rsidRPr="007D22B8">
        <w:rPr>
          <w:rFonts w:ascii="Abadi" w:hAnsi="Abadi"/>
          <w:sz w:val="32"/>
          <w:szCs w:val="32"/>
        </w:rPr>
        <w:t>La estabilidad sirve al interés de cada uno de nosotros</w:t>
      </w:r>
    </w:p>
    <w:p w14:paraId="2051B464" w14:textId="70B26443" w:rsidR="00E27B0C" w:rsidRPr="00E27B0C" w:rsidRDefault="00E27B0C" w:rsidP="00E27B0C">
      <w:pPr>
        <w:jc w:val="both"/>
      </w:pPr>
      <w:r w:rsidRPr="00E27B0C">
        <w:t>Discurso de la Dra. Jorgovanka Tabaković, Gobernadora del Banco Nacional de Serbia, en el 24º Foro Económico de Belgrado, Belgrado, 29 de octubre de 2024.</w:t>
      </w:r>
    </w:p>
    <w:p w14:paraId="7982202A" w14:textId="77777777" w:rsidR="00E27B0C" w:rsidRPr="00E27B0C" w:rsidRDefault="00E27B0C" w:rsidP="00E27B0C">
      <w:pPr>
        <w:jc w:val="both"/>
      </w:pPr>
      <w:r w:rsidRPr="00E27B0C">
        <w:t>Las opiniones expresadas en este discurso son las del orador y no las del BIS.</w:t>
      </w:r>
    </w:p>
    <w:p w14:paraId="25A96FA7" w14:textId="201794ED" w:rsidR="00E27B0C" w:rsidRPr="00E27B0C" w:rsidRDefault="00E27B0C" w:rsidP="00E27B0C">
      <w:pPr>
        <w:jc w:val="both"/>
      </w:pPr>
      <w:r w:rsidRPr="00E27B0C">
        <w:t>Discurso del banco central</w:t>
      </w:r>
      <w:r w:rsidR="00010370">
        <w:t xml:space="preserve"> </w:t>
      </w:r>
      <w:r w:rsidRPr="00E27B0C">
        <w:t>|</w:t>
      </w:r>
      <w:r w:rsidR="00010370">
        <w:t xml:space="preserve"> </w:t>
      </w:r>
      <w:r w:rsidRPr="00E27B0C">
        <w:t>04 de noviembre de 2024</w:t>
      </w:r>
    </w:p>
    <w:p w14:paraId="702D1FF3" w14:textId="4A57A2C8" w:rsidR="00E27B0C" w:rsidRPr="00E27B0C" w:rsidRDefault="00E27B0C" w:rsidP="00E27B0C">
      <w:pPr>
        <w:jc w:val="both"/>
      </w:pPr>
      <w:r w:rsidRPr="00E27B0C">
        <w:t>Por</w:t>
      </w:r>
      <w:r w:rsidR="00010370">
        <w:t xml:space="preserve">: </w:t>
      </w:r>
      <w:hyperlink r:id="rId5" w:history="1">
        <w:r w:rsidRPr="00E27B0C">
          <w:rPr>
            <w:rStyle w:val="Hipervnculo"/>
          </w:rPr>
          <w:t>Jorgovanka Tabaković</w:t>
        </w:r>
      </w:hyperlink>
    </w:p>
    <w:p w14:paraId="06A7E817" w14:textId="701987EE" w:rsidR="00E27B0C" w:rsidRPr="00E27B0C" w:rsidRDefault="007D22B8" w:rsidP="00E27B0C">
      <w:pPr>
        <w:jc w:val="both"/>
      </w:pPr>
      <w:hyperlink r:id="rId6" w:history="1">
        <w:r w:rsidR="00E27B0C" w:rsidRPr="00E27B0C">
          <w:rPr>
            <w:rStyle w:val="Hipervnculo"/>
          </w:rPr>
          <w:t>Texto completo en formato PDF</w:t>
        </w:r>
        <w:r w:rsidR="00010370">
          <w:rPr>
            <w:rStyle w:val="Hipervnculo"/>
          </w:rPr>
          <w:t xml:space="preserve"> </w:t>
        </w:r>
        <w:r w:rsidR="00E27B0C" w:rsidRPr="00E27B0C">
          <w:rPr>
            <w:rStyle w:val="Hipervnculo"/>
          </w:rPr>
          <w:t>(8kb)</w:t>
        </w:r>
        <w:r w:rsidR="00010370">
          <w:rPr>
            <w:rStyle w:val="Hipervnculo"/>
          </w:rPr>
          <w:t xml:space="preserve"> </w:t>
        </w:r>
      </w:hyperlink>
      <w:r w:rsidR="00E27B0C" w:rsidRPr="00E27B0C">
        <w:t>|</w:t>
      </w:r>
      <w:r w:rsidR="00010370">
        <w:t xml:space="preserve"> </w:t>
      </w:r>
      <w:r w:rsidR="00E27B0C" w:rsidRPr="00E27B0C">
        <w:t>3 páginas</w:t>
      </w:r>
    </w:p>
    <w:p w14:paraId="727F8069" w14:textId="77777777" w:rsidR="00E27B0C" w:rsidRPr="00E27B0C" w:rsidRDefault="00E27B0C" w:rsidP="00E27B0C">
      <w:pPr>
        <w:jc w:val="both"/>
      </w:pPr>
      <w:r w:rsidRPr="00E27B0C">
        <w:t>Antes de pasar a la parte formal, quisiera felicitar a todos por el hecho de que Serbia se ha sumado a la lista de países que ocupan un lugar especial en el mapa de la inversión mundial. ¡Felicitaciones a los ciudadanos de Serbia por haber obtenido la merecida calificación de grado de inversión!</w:t>
      </w:r>
    </w:p>
    <w:p w14:paraId="206E35FB" w14:textId="77777777" w:rsidR="00E27B0C" w:rsidRPr="00E27B0C" w:rsidRDefault="00E27B0C" w:rsidP="00E27B0C">
      <w:pPr>
        <w:jc w:val="both"/>
      </w:pPr>
      <w:r w:rsidRPr="00E27B0C">
        <w:t>Honorable Sr. Tsomokos, distinguidos anfitriones y participantes del Foro Económico de Belgrado,</w:t>
      </w:r>
    </w:p>
    <w:p w14:paraId="3F199F26" w14:textId="1D7A1CDF" w:rsidR="00E27B0C" w:rsidRPr="00E27B0C" w:rsidRDefault="00E27B0C" w:rsidP="00E27B0C">
      <w:pPr>
        <w:jc w:val="both"/>
      </w:pPr>
      <w:r w:rsidRPr="00E27B0C">
        <w:t>Es un placer saludarlos en mi nombre y en el del Banco Nacional de Serbia. Comenzaré con un tema de un libro porque creo que refleja los tiempos en que vivimos y trabajamos. Diga adiós al mundo que conocía: vivimos en una nueva era. La complejidad del momento actual hace que nuestras condiciones para hacer negocios sean de las más difíciles económicamente de la historia, ¡pero también de las más avanzadas tecnológicamente! Además, desde hace tiempo somos testigos de la creciente proliferación de focos de división: grandes divisiones sociales en los países más desarrollados. En lenguaje diplomático, definimos esto como una polarización social sin precedentes. La proliferación descontrolada de las redes sociales contribuye en gran medida a esto. Como dijo el escritor Meša Selimović: "</w:t>
      </w:r>
      <w:r w:rsidRPr="00E27B0C">
        <w:rPr>
          <w:i/>
          <w:iCs/>
        </w:rPr>
        <w:t>La desgracia y el mal siempre son conocidos por todos; solo el bien permanece oculto</w:t>
      </w:r>
      <w:r w:rsidRPr="00E27B0C">
        <w:t>".</w:t>
      </w:r>
    </w:p>
    <w:p w14:paraId="54FB3AC9" w14:textId="77777777" w:rsidR="00E27B0C" w:rsidRPr="00E27B0C" w:rsidRDefault="00E27B0C" w:rsidP="00E27B0C">
      <w:pPr>
        <w:jc w:val="both"/>
      </w:pPr>
      <w:r w:rsidRPr="00E27B0C">
        <w:t>Es fácil dar consejos, levantarse y predicar, hablar con confianza de teorías. Es fácil hacer alarde de convicciones morales, proclamar impotencia... Si bien es cierto que estamos obligados a encontrar nuevas fuentes de crecimiento, los individuos siembran el miedo contra ellas. Desde hace mucho tiempo se ha dicho que las personas se pueden dividir en dos grupos: los que avanzan y logran algo, y los que van detrás y critican.</w:t>
      </w:r>
    </w:p>
    <w:p w14:paraId="4A28C9F1" w14:textId="77777777" w:rsidR="00E27B0C" w:rsidRDefault="00E27B0C" w:rsidP="00E27B0C">
      <w:pPr>
        <w:jc w:val="both"/>
      </w:pPr>
      <w:r w:rsidRPr="00E27B0C">
        <w:t>Sí, siempre es bienvenido un sano escepticismo científico y social que nos permita cuestionar las cosas, y por eso estamos aquí. Sin embargo, las dudas que cuestionan el crecimiento y el desarrollo carecen de fundamento tanto social como económico.</w:t>
      </w:r>
    </w:p>
    <w:p w14:paraId="450B23E2" w14:textId="19D7F486" w:rsidR="00E27B0C" w:rsidRPr="00E27B0C" w:rsidRDefault="00E27B0C" w:rsidP="00E27B0C">
      <w:pPr>
        <w:jc w:val="both"/>
      </w:pPr>
      <w:r w:rsidRPr="00E27B0C">
        <w:t>Señoras y señores,</w:t>
      </w:r>
    </w:p>
    <w:p w14:paraId="576C8066" w14:textId="77777777" w:rsidR="00E27B0C" w:rsidRPr="00E27B0C" w:rsidRDefault="00E27B0C" w:rsidP="00E27B0C">
      <w:pPr>
        <w:jc w:val="both"/>
      </w:pPr>
      <w:r w:rsidRPr="00E27B0C">
        <w:t>En los últimos cinco años, las condiciones mundiales han puesto cada vez más de relieve la necesidad de elegir entre estabilidad de precios, crecimiento económico y estabilidad financiera. En Serbia, hemos logrado que la inflación vuelva a estar dentro de la banda objetivo, hemos mantenido la estabilidad financiera del país y hemos preservado el crecimiento económico, que está volviendo a los altos niveles previos a la pandemia.</w:t>
      </w:r>
    </w:p>
    <w:p w14:paraId="7886A716" w14:textId="77777777" w:rsidR="00E27B0C" w:rsidRPr="00E27B0C" w:rsidRDefault="00E27B0C" w:rsidP="00E27B0C">
      <w:pPr>
        <w:numPr>
          <w:ilvl w:val="0"/>
          <w:numId w:val="1"/>
        </w:numPr>
        <w:jc w:val="both"/>
      </w:pPr>
      <w:r w:rsidRPr="00E27B0C">
        <w:t>La inflación se redujo a la mitad el año pasado y, desde mayo de este año, ha regresado a nuestro rango objetivo de 3 ± 1,5%.</w:t>
      </w:r>
    </w:p>
    <w:p w14:paraId="60C4F59F" w14:textId="77777777" w:rsidR="00E27B0C" w:rsidRPr="00E27B0C" w:rsidRDefault="00E27B0C" w:rsidP="00E27B0C">
      <w:pPr>
        <w:numPr>
          <w:ilvl w:val="0"/>
          <w:numId w:val="1"/>
        </w:numPr>
        <w:jc w:val="both"/>
      </w:pPr>
      <w:r w:rsidRPr="00E27B0C">
        <w:lastRenderedPageBreak/>
        <w:t>También hemos mantenido la estabilidad del sector financiero, con la tasa de morosidad en un mínimo histórico del 2,7%.</w:t>
      </w:r>
    </w:p>
    <w:p w14:paraId="7F0FADB3" w14:textId="77777777" w:rsidR="00E27B0C" w:rsidRPr="00E27B0C" w:rsidRDefault="00E27B0C" w:rsidP="00E27B0C">
      <w:pPr>
        <w:numPr>
          <w:ilvl w:val="0"/>
          <w:numId w:val="1"/>
        </w:numPr>
        <w:jc w:val="both"/>
      </w:pPr>
      <w:r w:rsidRPr="00E27B0C">
        <w:t>Los ahorros en dinares alcanzaron niveles récord que superan los 170 mil millones de dinares serbios, siendo ahora casi diez veces mayores que en 2012.</w:t>
      </w:r>
    </w:p>
    <w:p w14:paraId="17879D2C" w14:textId="77777777" w:rsidR="00E27B0C" w:rsidRPr="00E27B0C" w:rsidRDefault="00E27B0C" w:rsidP="00E27B0C">
      <w:pPr>
        <w:numPr>
          <w:ilvl w:val="0"/>
          <w:numId w:val="1"/>
        </w:numPr>
        <w:jc w:val="both"/>
      </w:pPr>
      <w:r w:rsidRPr="00E27B0C">
        <w:t>También estamos asistiendo a nuevos récords en las entradas de IED, que totalizaron 4.600 millones de euros el año pasado, y parece probable que tengamos otro año récord.</w:t>
      </w:r>
    </w:p>
    <w:p w14:paraId="48A55F40" w14:textId="77777777" w:rsidR="00E27B0C" w:rsidRPr="00E27B0C" w:rsidRDefault="00E27B0C" w:rsidP="00E27B0C">
      <w:pPr>
        <w:jc w:val="both"/>
      </w:pPr>
      <w:r w:rsidRPr="00E27B0C">
        <w:t>Durante más de una década, la primera asociación con el Banco Nacional de Serbia ha sido la relativa estabilidad del tipo de cambio del dinar frente al euro, como pilar clave de la certidumbre empresarial y la confianza de los inversores y los consumidores. Nos hemos acostumbrado a esta estabilidad, que fácilmente se da por sentada porque beneficia a todos.</w:t>
      </w:r>
    </w:p>
    <w:p w14:paraId="0B43F1EB" w14:textId="77777777" w:rsidR="00E27B0C" w:rsidRPr="00E27B0C" w:rsidRDefault="00E27B0C" w:rsidP="00E27B0C">
      <w:pPr>
        <w:numPr>
          <w:ilvl w:val="0"/>
          <w:numId w:val="2"/>
        </w:numPr>
        <w:jc w:val="both"/>
      </w:pPr>
      <w:r w:rsidRPr="00E27B0C">
        <w:t>El dinar se apreció frente al euro un 0,1% el año pasado y se ha apreciado en la misma cantidad este año.</w:t>
      </w:r>
    </w:p>
    <w:p w14:paraId="48A48BC7" w14:textId="6F9EF38D" w:rsidR="00E27B0C" w:rsidRPr="00E27B0C" w:rsidRDefault="00E27B0C" w:rsidP="00E27B0C">
      <w:pPr>
        <w:numPr>
          <w:ilvl w:val="0"/>
          <w:numId w:val="2"/>
        </w:numPr>
        <w:jc w:val="both"/>
      </w:pPr>
      <w:r w:rsidRPr="00E27B0C">
        <w:t xml:space="preserve">Las reservas de divisas alcanzaron un máximo histórico de 28.300 millones de euros a finales de septiembre, más de dos veces y </w:t>
      </w:r>
      <w:r w:rsidR="007D22B8" w:rsidRPr="00E27B0C">
        <w:t>medias mayores</w:t>
      </w:r>
      <w:r w:rsidRPr="00E27B0C">
        <w:t xml:space="preserve"> que en 2012.</w:t>
      </w:r>
    </w:p>
    <w:p w14:paraId="6B932F1A" w14:textId="77777777" w:rsidR="00E27B0C" w:rsidRPr="00E27B0C" w:rsidRDefault="00E27B0C" w:rsidP="00E27B0C">
      <w:pPr>
        <w:numPr>
          <w:ilvl w:val="0"/>
          <w:numId w:val="2"/>
        </w:numPr>
        <w:jc w:val="both"/>
      </w:pPr>
      <w:r w:rsidRPr="00E27B0C">
        <w:t>Todas las decisiones de inversión, incluidas aquellas relacionadas con inversiones en oro, se toman siguiendo un análisis detallado de las tendencias actuales y previstas del mercado y considerando las reservas totales de divisas.</w:t>
      </w:r>
    </w:p>
    <w:p w14:paraId="0882E22C" w14:textId="77777777" w:rsidR="00E27B0C" w:rsidRPr="00E27B0C" w:rsidRDefault="00E27B0C" w:rsidP="00E27B0C">
      <w:pPr>
        <w:numPr>
          <w:ilvl w:val="0"/>
          <w:numId w:val="2"/>
        </w:numPr>
        <w:jc w:val="both"/>
      </w:pPr>
      <w:r w:rsidRPr="00E27B0C">
        <w:t>En la actualidad, las reservas de oro de Serbia ascienden a 47,3 toneladas, están valoradas en 3.700 millones de euros y representan el 13% de las reservas totales de divisas. Su valor es ahora más de cinco veces mayor que a finales de 2012.</w:t>
      </w:r>
    </w:p>
    <w:p w14:paraId="202B70DA" w14:textId="77777777" w:rsidR="00E27B0C" w:rsidRPr="00E27B0C" w:rsidRDefault="00E27B0C" w:rsidP="00E27B0C">
      <w:pPr>
        <w:numPr>
          <w:ilvl w:val="0"/>
          <w:numId w:val="2"/>
        </w:numPr>
        <w:jc w:val="both"/>
      </w:pPr>
      <w:r w:rsidRPr="00E27B0C">
        <w:t>Hace diez años, las empresas nacionales registraron una pérdida neta de más de 130 mil millones de RSD, mientras que el año pasado registraron un beneficio neto récord de 972 mil millones de RSD.</w:t>
      </w:r>
    </w:p>
    <w:p w14:paraId="3D951DE2" w14:textId="77777777" w:rsidR="00E27B0C" w:rsidRPr="00E27B0C" w:rsidRDefault="00E27B0C" w:rsidP="00E27B0C">
      <w:pPr>
        <w:numPr>
          <w:ilvl w:val="0"/>
          <w:numId w:val="2"/>
        </w:numPr>
        <w:jc w:val="both"/>
      </w:pPr>
      <w:r w:rsidRPr="00E27B0C">
        <w:t>¡Todos estos resultados nos han llevado oficialmente al grupo de países con calificación de grado de inversión!</w:t>
      </w:r>
    </w:p>
    <w:p w14:paraId="1CA833E8" w14:textId="77777777" w:rsidR="00E27B0C" w:rsidRPr="00E27B0C" w:rsidRDefault="00E27B0C" w:rsidP="00E27B0C">
      <w:pPr>
        <w:jc w:val="both"/>
      </w:pPr>
      <w:r w:rsidRPr="00E27B0C">
        <w:t>Para el próximo período, las proyecciones del Banco Nacional de Serbia indican lo siguiente:</w:t>
      </w:r>
    </w:p>
    <w:p w14:paraId="7BDC05B9" w14:textId="77777777" w:rsidR="00E27B0C" w:rsidRPr="00E27B0C" w:rsidRDefault="00E27B0C" w:rsidP="00E27B0C">
      <w:pPr>
        <w:numPr>
          <w:ilvl w:val="0"/>
          <w:numId w:val="3"/>
        </w:numPr>
        <w:jc w:val="both"/>
      </w:pPr>
      <w:r w:rsidRPr="00E27B0C">
        <w:t>La inflación se mantendrá dentro de los límites fijados como meta hasta finales de este año y en los dos años siguientes;</w:t>
      </w:r>
    </w:p>
    <w:p w14:paraId="42D47E1F" w14:textId="77777777" w:rsidR="00E27B0C" w:rsidRPr="00E27B0C" w:rsidRDefault="00E27B0C" w:rsidP="00E27B0C">
      <w:pPr>
        <w:numPr>
          <w:ilvl w:val="0"/>
          <w:numId w:val="3"/>
        </w:numPr>
        <w:jc w:val="both"/>
      </w:pPr>
      <w:r w:rsidRPr="00E27B0C">
        <w:t>Proyectamos una mayor aceleración del crecimiento del PIB en el rango del 4-5% durante los próximos dos años;</w:t>
      </w:r>
    </w:p>
    <w:p w14:paraId="6CF74519" w14:textId="77777777" w:rsidR="00E27B0C" w:rsidRPr="00E27B0C" w:rsidRDefault="00E27B0C" w:rsidP="00E27B0C">
      <w:pPr>
        <w:numPr>
          <w:ilvl w:val="0"/>
          <w:numId w:val="3"/>
        </w:numPr>
        <w:jc w:val="both"/>
      </w:pPr>
      <w:r w:rsidRPr="00E27B0C">
        <w:t>También estimamos que la IED seguirá cubriendo el déficit de cuenta corriente, contribuyendo a la sostenibilidad de la posición externa de Serbia.</w:t>
      </w:r>
    </w:p>
    <w:p w14:paraId="6522C81D" w14:textId="77777777" w:rsidR="00E27B0C" w:rsidRPr="00E27B0C" w:rsidRDefault="00E27B0C" w:rsidP="00E27B0C">
      <w:pPr>
        <w:jc w:val="both"/>
      </w:pPr>
      <w:r w:rsidRPr="00E27B0C">
        <w:t>Por lo tanto, hay motivos para un optimismo realista, ya que estas condiciones facilitan la toma de decisiones a largo plazo importantes para la prosperidad y la inclusión.</w:t>
      </w:r>
    </w:p>
    <w:p w14:paraId="02640071" w14:textId="77777777" w:rsidR="00E27B0C" w:rsidRPr="00E27B0C" w:rsidRDefault="00E27B0C" w:rsidP="00E27B0C">
      <w:pPr>
        <w:jc w:val="both"/>
      </w:pPr>
      <w:r w:rsidRPr="00E27B0C">
        <w:t xml:space="preserve">También estamos trabajando intensamente para unirnos a la Zona Única de Pagos en </w:t>
      </w:r>
      <w:proofErr w:type="gramStart"/>
      <w:r w:rsidRPr="00E27B0C">
        <w:t>Euros</w:t>
      </w:r>
      <w:proofErr w:type="gramEnd"/>
      <w:r w:rsidRPr="00E27B0C">
        <w:t xml:space="preserve"> (SEPA). Serbia es el único país de la región que ha desarrollado la infraestructura técnica para los pagos </w:t>
      </w:r>
      <w:r w:rsidRPr="00E27B0C">
        <w:lastRenderedPageBreak/>
        <w:t>instantáneos: nuestro sistema de pago NBS IPS, que ya aplica estándares de mensajes financieros como los de la SEPA. La adhesión a esta zona permitirá reducir los costes de los pagos entre la Unión Europea y las economías de los Balcanes Occidentales, lo que se traducirá en transacciones más baratas tanto para los ciudadanos como para las empresas.</w:t>
      </w:r>
    </w:p>
    <w:p w14:paraId="5171A4D9" w14:textId="77777777" w:rsidR="00E27B0C" w:rsidRPr="00E27B0C" w:rsidRDefault="00E27B0C" w:rsidP="00E27B0C">
      <w:pPr>
        <w:jc w:val="both"/>
      </w:pPr>
      <w:r w:rsidRPr="00E27B0C">
        <w:t>Señoras y señores,</w:t>
      </w:r>
    </w:p>
    <w:p w14:paraId="0FCE02B6" w14:textId="77777777" w:rsidR="00E27B0C" w:rsidRPr="00E27B0C" w:rsidRDefault="00E27B0C" w:rsidP="00E27B0C">
      <w:pPr>
        <w:jc w:val="both"/>
      </w:pPr>
      <w:r w:rsidRPr="00E27B0C">
        <w:t>A pesar del creciente proteccionismo global, es evidente que los logros de la globalización no se pueden deshacer. Es un proceso irreversible y todo lo bueno que ha traído consigo debe utilizarse sabiamente, por supuesto, junto con el fortalecimiento de nuestra autosuficiencia. Estas dos cosas no se anulan entre sí.</w:t>
      </w:r>
    </w:p>
    <w:p w14:paraId="6D4ABD7B" w14:textId="77777777" w:rsidR="00E27B0C" w:rsidRPr="00E27B0C" w:rsidRDefault="00E27B0C" w:rsidP="00E27B0C">
      <w:pPr>
        <w:jc w:val="both"/>
      </w:pPr>
      <w:r w:rsidRPr="00E27B0C">
        <w:t>En nombre del Banco Nacional de Serbia, puedo prometer:</w:t>
      </w:r>
    </w:p>
    <w:p w14:paraId="67540ED1" w14:textId="77777777" w:rsidR="00E27B0C" w:rsidRPr="00E27B0C" w:rsidRDefault="00E27B0C" w:rsidP="00010370">
      <w:pPr>
        <w:numPr>
          <w:ilvl w:val="0"/>
          <w:numId w:val="4"/>
        </w:numPr>
        <w:spacing w:after="0"/>
        <w:jc w:val="both"/>
      </w:pPr>
      <w:r w:rsidRPr="00E27B0C">
        <w:t>que seguiremos trabajando por el interés general,</w:t>
      </w:r>
    </w:p>
    <w:p w14:paraId="1EC960F0" w14:textId="77777777" w:rsidR="00E27B0C" w:rsidRPr="00E27B0C" w:rsidRDefault="00E27B0C" w:rsidP="00010370">
      <w:pPr>
        <w:numPr>
          <w:ilvl w:val="0"/>
          <w:numId w:val="4"/>
        </w:numPr>
        <w:spacing w:after="0"/>
        <w:jc w:val="both"/>
      </w:pPr>
      <w:r w:rsidRPr="00E27B0C">
        <w:t>que la estabilidad relativa del tipo de cambio no tiene alternativa, y</w:t>
      </w:r>
    </w:p>
    <w:p w14:paraId="2E989814" w14:textId="77777777" w:rsidR="00E27B0C" w:rsidRPr="00E27B0C" w:rsidRDefault="00E27B0C" w:rsidP="00E27B0C">
      <w:pPr>
        <w:numPr>
          <w:ilvl w:val="0"/>
          <w:numId w:val="4"/>
        </w:numPr>
        <w:jc w:val="both"/>
      </w:pPr>
      <w:r w:rsidRPr="00E27B0C">
        <w:t>que no habrá tipos de interés negativos en Serbia, ya que no quiero ni puedo aceptar nunca que el dinero deje de cumplir una de sus funciones fundamentales: generar ingresos a través del ahorro y del concepto de interés compuesto.</w:t>
      </w:r>
    </w:p>
    <w:p w14:paraId="2F0EF648" w14:textId="77777777" w:rsidR="00E27B0C" w:rsidRPr="00E27B0C" w:rsidRDefault="00E27B0C" w:rsidP="00E27B0C">
      <w:pPr>
        <w:jc w:val="both"/>
      </w:pPr>
      <w:r w:rsidRPr="00E27B0C">
        <w:t>También les recuerdo las valoraciones de algunos economistas de que "las tasas de interés negativas son un signo de la desesperación de los bancos centrales, no una solución a los problemas económicos" y que son "un experimento peligroso con consecuencias desconocidas".</w:t>
      </w:r>
    </w:p>
    <w:p w14:paraId="6C0AF8C7" w14:textId="77777777" w:rsidR="00E27B0C" w:rsidRPr="00E27B0C" w:rsidRDefault="00E27B0C" w:rsidP="00E27B0C">
      <w:pPr>
        <w:jc w:val="both"/>
      </w:pPr>
      <w:r w:rsidRPr="00E27B0C">
        <w:t>Creo que esta es la clave para la resistencia en estos tiempos inciertos. Seguiremos apoyando a quienes son conscientes de la importancia de la estabilidad, que sirve al interés de cada uno de nosotros, mientras luchamos allí donde surjan grietas que socaven el sistema. Siempre lucharé contra los fenómenos negativos y lucharé por el pueblo.</w:t>
      </w:r>
    </w:p>
    <w:p w14:paraId="7BF6D536" w14:textId="77777777" w:rsidR="00E27B0C" w:rsidRPr="00E27B0C" w:rsidRDefault="00E27B0C" w:rsidP="00E27B0C">
      <w:pPr>
        <w:jc w:val="both"/>
      </w:pPr>
      <w:r w:rsidRPr="00E27B0C">
        <w:t>Por último, quisiera repetir algo que a menudo se olvida o se da por sentado: la estabilidad no es algo que se pueda dar por sentado. El único queso gratis es el que se encuentra en la ratonera. La paz tampoco debe darse por sentada. No podemos influir en los principales Estados en lo que respecta a la polarización, pero sí podemos apoyar nuestras oportunidades de desarrollo.</w:t>
      </w:r>
    </w:p>
    <w:p w14:paraId="05F42A05" w14:textId="77777777" w:rsidR="00E27B0C" w:rsidRDefault="00E27B0C" w:rsidP="00E27B0C">
      <w:pPr>
        <w:jc w:val="both"/>
      </w:pPr>
      <w:r w:rsidRPr="00E27B0C">
        <w:t>Por lo tanto, esperamos que el Banco Nacional de Serbia siga liderando numerosas innovaciones, pero nunca a costa de la estabilidad del sistema.</w:t>
      </w:r>
    </w:p>
    <w:p w14:paraId="475E809D" w14:textId="1564123B" w:rsidR="00E27B0C" w:rsidRPr="00E27B0C" w:rsidRDefault="00E27B0C" w:rsidP="00E27B0C">
      <w:pPr>
        <w:jc w:val="both"/>
      </w:pPr>
      <w:r w:rsidRPr="00E27B0C">
        <w:t>Una vez más, felicito a los ciudadanos de Serbia por la calificación de grado de inversión que merecemos desde hace mucho tiempo y que ahora nos pertenece por derecho, y les deseo un exitoso 24º Foro Económico de Belgrado.</w:t>
      </w:r>
    </w:p>
    <w:p w14:paraId="0F78D497" w14:textId="77777777" w:rsidR="00E27B0C" w:rsidRPr="00E27B0C" w:rsidRDefault="00E27B0C" w:rsidP="00E27B0C">
      <w:pPr>
        <w:jc w:val="both"/>
        <w:rPr>
          <w:b/>
          <w:bCs/>
        </w:rPr>
      </w:pPr>
      <w:r w:rsidRPr="00E27B0C">
        <w:rPr>
          <w:b/>
          <w:bCs/>
        </w:rPr>
        <w:t>Acerca del autor</w:t>
      </w:r>
    </w:p>
    <w:p w14:paraId="73574E7E" w14:textId="42A0369B" w:rsidR="00C952BE" w:rsidRDefault="00E27B0C" w:rsidP="00E27B0C">
      <w:pPr>
        <w:jc w:val="both"/>
      </w:pPr>
      <w:r w:rsidRPr="00E27B0C">
        <w:rPr>
          <w:noProof/>
        </w:rPr>
        <w:drawing>
          <wp:inline distT="0" distB="0" distL="0" distR="0" wp14:anchorId="175BB034" wp14:editId="52482A20">
            <wp:extent cx="5612130" cy="59118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591185"/>
                    </a:xfrm>
                    <a:prstGeom prst="rect">
                      <a:avLst/>
                    </a:prstGeom>
                  </pic:spPr>
                </pic:pic>
              </a:graphicData>
            </a:graphic>
          </wp:inline>
        </w:drawing>
      </w:r>
    </w:p>
    <w:p w14:paraId="6BEDA37A" w14:textId="16A56FB7" w:rsidR="00E27B0C" w:rsidRDefault="00E27B0C" w:rsidP="00E27B0C">
      <w:pPr>
        <w:jc w:val="both"/>
      </w:pPr>
    </w:p>
    <w:sectPr w:rsidR="00E27B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34CF4"/>
    <w:multiLevelType w:val="multilevel"/>
    <w:tmpl w:val="CEEE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F6395"/>
    <w:multiLevelType w:val="multilevel"/>
    <w:tmpl w:val="3FA0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51BDB"/>
    <w:multiLevelType w:val="multilevel"/>
    <w:tmpl w:val="D24E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2334CE"/>
    <w:multiLevelType w:val="multilevel"/>
    <w:tmpl w:val="E604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0C"/>
    <w:rsid w:val="00010370"/>
    <w:rsid w:val="007D22B8"/>
    <w:rsid w:val="00C952BE"/>
    <w:rsid w:val="00E27B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BEC7"/>
  <w15:chartTrackingRefBased/>
  <w15:docId w15:val="{F64987E6-98E0-4DEB-958B-7D80F226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27B0C"/>
    <w:rPr>
      <w:color w:val="0563C1" w:themeColor="hyperlink"/>
      <w:u w:val="single"/>
    </w:rPr>
  </w:style>
  <w:style w:type="character" w:styleId="Mencinsinresolver">
    <w:name w:val="Unresolved Mention"/>
    <w:basedOn w:val="Fuentedeprrafopredeter"/>
    <w:uiPriority w:val="99"/>
    <w:semiHidden/>
    <w:unhideWhenUsed/>
    <w:rsid w:val="00E27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757782">
      <w:bodyDiv w:val="1"/>
      <w:marLeft w:val="0"/>
      <w:marRight w:val="0"/>
      <w:marTop w:val="0"/>
      <w:marBottom w:val="0"/>
      <w:divBdr>
        <w:top w:val="none" w:sz="0" w:space="0" w:color="auto"/>
        <w:left w:val="none" w:sz="0" w:space="0" w:color="auto"/>
        <w:bottom w:val="none" w:sz="0" w:space="0" w:color="auto"/>
        <w:right w:val="none" w:sz="0" w:space="0" w:color="auto"/>
      </w:divBdr>
      <w:divsChild>
        <w:div w:id="952127020">
          <w:marLeft w:val="0"/>
          <w:marRight w:val="0"/>
          <w:marTop w:val="0"/>
          <w:marBottom w:val="0"/>
          <w:divBdr>
            <w:top w:val="none" w:sz="0" w:space="0" w:color="auto"/>
            <w:left w:val="none" w:sz="0" w:space="0" w:color="auto"/>
            <w:bottom w:val="none" w:sz="0" w:space="0" w:color="auto"/>
            <w:right w:val="none" w:sz="0" w:space="0" w:color="auto"/>
          </w:divBdr>
        </w:div>
        <w:div w:id="2016111968">
          <w:marLeft w:val="0"/>
          <w:marRight w:val="0"/>
          <w:marTop w:val="0"/>
          <w:marBottom w:val="0"/>
          <w:divBdr>
            <w:top w:val="single" w:sz="18" w:space="15" w:color="AA332F"/>
            <w:left w:val="none" w:sz="0" w:space="0" w:color="auto"/>
            <w:bottom w:val="none" w:sz="0" w:space="0" w:color="auto"/>
            <w:right w:val="none" w:sz="0" w:space="0" w:color="auto"/>
          </w:divBdr>
          <w:divsChild>
            <w:div w:id="404494241">
              <w:marLeft w:val="0"/>
              <w:marRight w:val="0"/>
              <w:marTop w:val="0"/>
              <w:marBottom w:val="0"/>
              <w:divBdr>
                <w:top w:val="none" w:sz="0" w:space="0" w:color="auto"/>
                <w:left w:val="none" w:sz="0" w:space="0" w:color="auto"/>
                <w:bottom w:val="none" w:sz="0" w:space="0" w:color="auto"/>
                <w:right w:val="none" w:sz="0" w:space="0" w:color="auto"/>
              </w:divBdr>
              <w:divsChild>
                <w:div w:id="582373769">
                  <w:marLeft w:val="0"/>
                  <w:marRight w:val="0"/>
                  <w:marTop w:val="0"/>
                  <w:marBottom w:val="0"/>
                  <w:divBdr>
                    <w:top w:val="none" w:sz="0" w:space="0" w:color="auto"/>
                    <w:left w:val="none" w:sz="0" w:space="0" w:color="auto"/>
                    <w:bottom w:val="none" w:sz="0" w:space="0" w:color="auto"/>
                    <w:right w:val="none" w:sz="0" w:space="0" w:color="auto"/>
                  </w:divBdr>
                  <w:divsChild>
                    <w:div w:id="120534761">
                      <w:marLeft w:val="0"/>
                      <w:marRight w:val="0"/>
                      <w:marTop w:val="0"/>
                      <w:marBottom w:val="0"/>
                      <w:divBdr>
                        <w:top w:val="none" w:sz="0" w:space="0" w:color="auto"/>
                        <w:left w:val="none" w:sz="0" w:space="0" w:color="auto"/>
                        <w:bottom w:val="none" w:sz="0" w:space="0" w:color="auto"/>
                        <w:right w:val="none" w:sz="0" w:space="0" w:color="auto"/>
                      </w:divBdr>
                    </w:div>
                  </w:divsChild>
                </w:div>
                <w:div w:id="152570948">
                  <w:marLeft w:val="0"/>
                  <w:marRight w:val="0"/>
                  <w:marTop w:val="0"/>
                  <w:marBottom w:val="0"/>
                  <w:divBdr>
                    <w:top w:val="none" w:sz="0" w:space="0" w:color="auto"/>
                    <w:left w:val="none" w:sz="0" w:space="0" w:color="auto"/>
                    <w:bottom w:val="none" w:sz="0" w:space="0" w:color="auto"/>
                    <w:right w:val="none" w:sz="0" w:space="0" w:color="auto"/>
                  </w:divBdr>
                  <w:divsChild>
                    <w:div w:id="141434008">
                      <w:marLeft w:val="0"/>
                      <w:marRight w:val="0"/>
                      <w:marTop w:val="0"/>
                      <w:marBottom w:val="0"/>
                      <w:divBdr>
                        <w:top w:val="none" w:sz="0" w:space="0" w:color="auto"/>
                        <w:left w:val="none" w:sz="0" w:space="0" w:color="auto"/>
                        <w:bottom w:val="none" w:sz="0" w:space="0" w:color="auto"/>
                        <w:right w:val="none" w:sz="0" w:space="0" w:color="auto"/>
                      </w:divBdr>
                    </w:div>
                  </w:divsChild>
                </w:div>
                <w:div w:id="1566572608">
                  <w:marLeft w:val="0"/>
                  <w:marRight w:val="0"/>
                  <w:marTop w:val="0"/>
                  <w:marBottom w:val="0"/>
                  <w:divBdr>
                    <w:top w:val="none" w:sz="0" w:space="0" w:color="auto"/>
                    <w:left w:val="none" w:sz="0" w:space="0" w:color="auto"/>
                    <w:bottom w:val="none" w:sz="0" w:space="0" w:color="auto"/>
                    <w:right w:val="none" w:sz="0" w:space="0" w:color="auto"/>
                  </w:divBdr>
                  <w:divsChild>
                    <w:div w:id="50764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30101">
          <w:marLeft w:val="0"/>
          <w:marRight w:val="0"/>
          <w:marTop w:val="0"/>
          <w:marBottom w:val="0"/>
          <w:divBdr>
            <w:top w:val="none" w:sz="0" w:space="0" w:color="auto"/>
            <w:left w:val="none" w:sz="0" w:space="0" w:color="auto"/>
            <w:bottom w:val="none" w:sz="0" w:space="0" w:color="auto"/>
            <w:right w:val="none" w:sz="0" w:space="0" w:color="auto"/>
          </w:divBdr>
        </w:div>
        <w:div w:id="1898978177">
          <w:marLeft w:val="0"/>
          <w:marRight w:val="0"/>
          <w:marTop w:val="600"/>
          <w:marBottom w:val="0"/>
          <w:divBdr>
            <w:top w:val="none" w:sz="0" w:space="0" w:color="auto"/>
            <w:left w:val="none" w:sz="0" w:space="0" w:color="auto"/>
            <w:bottom w:val="none" w:sz="0" w:space="0" w:color="auto"/>
            <w:right w:val="none" w:sz="0" w:space="0" w:color="auto"/>
          </w:divBdr>
          <w:divsChild>
            <w:div w:id="125601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s.org/review/r241104i.pdf" TargetMode="External"/><Relationship Id="rId5" Type="http://schemas.openxmlformats.org/officeDocument/2006/relationships/hyperlink" Target="https://www.bis.org/author/jorgovanka_tabakovi%26%23263%3B.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1268</Words>
  <Characters>6976</Characters>
  <Application>Microsoft Office Word</Application>
  <DocSecurity>0</DocSecurity>
  <Lines>58</Lines>
  <Paragraphs>16</Paragraphs>
  <ScaleCrop>false</ScaleCrop>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3</cp:revision>
  <dcterms:created xsi:type="dcterms:W3CDTF">2024-11-06T01:58:00Z</dcterms:created>
  <dcterms:modified xsi:type="dcterms:W3CDTF">2024-11-19T01:26:00Z</dcterms:modified>
</cp:coreProperties>
</file>