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0D73" w14:textId="3C770C8D" w:rsidR="004C4E41" w:rsidRPr="00DC3587" w:rsidRDefault="004C4E41" w:rsidP="004C4E41">
      <w:pPr>
        <w:jc w:val="both"/>
        <w:rPr>
          <w:rFonts w:ascii="Abadi" w:hAnsi="Abadi"/>
          <w:sz w:val="28"/>
          <w:szCs w:val="28"/>
        </w:rPr>
      </w:pPr>
      <w:bookmarkStart w:id="0" w:name="_Hlk182507644"/>
      <w:r w:rsidRPr="00DC3587">
        <w:rPr>
          <w:rFonts w:ascii="Abadi" w:hAnsi="Abadi"/>
          <w:sz w:val="28"/>
          <w:szCs w:val="28"/>
        </w:rPr>
        <w:t>Perspectivas sobre la creciente importancia del dinero digital</w:t>
      </w:r>
    </w:p>
    <w:bookmarkEnd w:id="0"/>
    <w:p w14:paraId="3495C45A" w14:textId="3E294E85" w:rsidR="004C4E41" w:rsidRPr="004C4E41" w:rsidRDefault="004C4E41" w:rsidP="004C4E41">
      <w:pPr>
        <w:jc w:val="both"/>
      </w:pPr>
      <w:r w:rsidRPr="004C4E41">
        <w:t>Discurso inaugural (virtual) del Sr. Denis Beau, primer vicegobernador del Banco de Francia, en la Semana Fintech de Hong Kong, Hong Kong, 28 de octubre de 2024.</w:t>
      </w:r>
    </w:p>
    <w:p w14:paraId="709A86C9" w14:textId="77777777" w:rsidR="004C4E41" w:rsidRPr="004C4E41" w:rsidRDefault="004C4E41" w:rsidP="004C4E41">
      <w:pPr>
        <w:jc w:val="both"/>
      </w:pPr>
      <w:r w:rsidRPr="004C4E41">
        <w:t>Las opiniones expresadas en este discurso son las del orador y no las del BIS.</w:t>
      </w:r>
    </w:p>
    <w:p w14:paraId="56E8C8E8" w14:textId="310FDC2A" w:rsidR="004C4E41" w:rsidRPr="004C4E41" w:rsidRDefault="004C4E41" w:rsidP="004C4E41">
      <w:pPr>
        <w:jc w:val="both"/>
      </w:pPr>
      <w:r w:rsidRPr="004C4E41">
        <w:t>Discurso del banco central</w:t>
      </w:r>
      <w:r w:rsidR="007A44E6">
        <w:t xml:space="preserve"> </w:t>
      </w:r>
      <w:r w:rsidRPr="004C4E41">
        <w:t>|</w:t>
      </w:r>
      <w:r w:rsidR="007A44E6">
        <w:t xml:space="preserve"> </w:t>
      </w:r>
      <w:r w:rsidRPr="004C4E41">
        <w:t>28 de octubre de 2024</w:t>
      </w:r>
    </w:p>
    <w:p w14:paraId="3B704E37" w14:textId="59E0DFA0" w:rsidR="004C4E41" w:rsidRPr="004C4E41" w:rsidRDefault="007A44E6" w:rsidP="004C4E41">
      <w:pPr>
        <w:jc w:val="both"/>
      </w:pPr>
      <w:r w:rsidRPr="004C4E41">
        <w:t>P</w:t>
      </w:r>
      <w:r w:rsidR="004C4E41" w:rsidRPr="004C4E41">
        <w:t>or</w:t>
      </w:r>
      <w:r>
        <w:t xml:space="preserve">: </w:t>
      </w:r>
      <w:hyperlink r:id="rId5" w:history="1">
        <w:r w:rsidR="004C4E41" w:rsidRPr="004C4E41">
          <w:rPr>
            <w:rStyle w:val="Hipervnculo"/>
          </w:rPr>
          <w:t>Denis Beau</w:t>
        </w:r>
      </w:hyperlink>
    </w:p>
    <w:p w14:paraId="59E5A81A" w14:textId="5DFE0905" w:rsidR="004C4E41" w:rsidRPr="004C4E41" w:rsidRDefault="00F444AE" w:rsidP="004C4E41">
      <w:pPr>
        <w:jc w:val="both"/>
      </w:pPr>
      <w:hyperlink r:id="rId6" w:history="1">
        <w:r w:rsidR="004C4E41" w:rsidRPr="004C4E41">
          <w:rPr>
            <w:rStyle w:val="Hipervnculo"/>
          </w:rPr>
          <w:t>Texto completo en formato PDF</w:t>
        </w:r>
        <w:r w:rsidR="007A44E6">
          <w:rPr>
            <w:rStyle w:val="Hipervnculo"/>
          </w:rPr>
          <w:t xml:space="preserve"> </w:t>
        </w:r>
        <w:r w:rsidR="004C4E41" w:rsidRPr="004C4E41">
          <w:rPr>
            <w:rStyle w:val="Hipervnculo"/>
          </w:rPr>
          <w:t>(8kb)</w:t>
        </w:r>
        <w:r w:rsidR="007A44E6">
          <w:rPr>
            <w:rStyle w:val="Hipervnculo"/>
          </w:rPr>
          <w:t xml:space="preserve"> </w:t>
        </w:r>
      </w:hyperlink>
      <w:r w:rsidR="004C4E41" w:rsidRPr="004C4E41">
        <w:t>|</w:t>
      </w:r>
      <w:r w:rsidR="007A44E6">
        <w:t xml:space="preserve"> </w:t>
      </w:r>
      <w:r w:rsidR="004C4E41" w:rsidRPr="004C4E41">
        <w:t>3 páginas</w:t>
      </w:r>
    </w:p>
    <w:p w14:paraId="5A6EE2DB" w14:textId="77777777" w:rsidR="004C4E41" w:rsidRPr="004C4E41" w:rsidRDefault="004C4E41" w:rsidP="004C4E41">
      <w:pPr>
        <w:jc w:val="both"/>
      </w:pPr>
      <w:r w:rsidRPr="004C4E41">
        <w:t>Buenas tardes, señoras y señores,</w:t>
      </w:r>
    </w:p>
    <w:p w14:paraId="6B01DD99" w14:textId="77777777" w:rsidR="004C4E41" w:rsidRPr="004C4E41" w:rsidRDefault="004C4E41" w:rsidP="004C4E41">
      <w:pPr>
        <w:jc w:val="both"/>
      </w:pPr>
      <w:r w:rsidRPr="004C4E41">
        <w:t>Me complace unirme a ustedes virtualmente hoy para la Semana FinTech de Hong Kong, para compartir nuestra perspectiva en el Banco de Francia sobre el desarrollo de los pagos digitales y sus implicaciones para el cumplimiento de nuestro mandato de garantizar el correcto funcionamiento de los sistemas de pago.</w:t>
      </w:r>
    </w:p>
    <w:p w14:paraId="419F21F4" w14:textId="75ACFF2C" w:rsidR="004C4E41" w:rsidRPr="004C4E41" w:rsidRDefault="004C4E41" w:rsidP="004C4E41">
      <w:pPr>
        <w:jc w:val="both"/>
      </w:pPr>
      <w:r w:rsidRPr="004C4E41">
        <w:t>Aunque los pagos mayoristas y minoristas están siendo transformados por tendencias distintas, presentan desafíos similares desde una perspectiva de seguridad y eficiencia. Para enfrentar estos desafíos, en el Banco de Francia hemos estado actuando simultáneamente sobre tres palancas clave. En primer lugar, la prestación de servicios monetarios del banco central. En segundo lugar, el apoyo a las iniciativas del sector en línea con nuestros objetivos de política. En tercer lugar, la promoción de ajustes al marco regulatorio y de supervisión.</w:t>
      </w:r>
    </w:p>
    <w:p w14:paraId="10E672B9" w14:textId="77777777" w:rsidR="004C4E41" w:rsidRPr="004C4E41" w:rsidRDefault="004C4E41" w:rsidP="004C4E41">
      <w:pPr>
        <w:jc w:val="both"/>
      </w:pPr>
      <w:r w:rsidRPr="004C4E41">
        <w:t>En ese contexto, me gustaría explicar en mis observaciones introductorias cómo consideramos utilizar nuestra primera palanca: la prestación de servicios monetarios del banco central.</w:t>
      </w:r>
    </w:p>
    <w:p w14:paraId="73CBD7F4" w14:textId="77777777" w:rsidR="004C4E41" w:rsidRPr="004C4E41" w:rsidRDefault="004C4E41" w:rsidP="004C4E41">
      <w:pPr>
        <w:jc w:val="both"/>
        <w:rPr>
          <w:b/>
          <w:bCs/>
        </w:rPr>
      </w:pPr>
      <w:r w:rsidRPr="004C4E41">
        <w:rPr>
          <w:b/>
          <w:bCs/>
        </w:rPr>
        <w:t>1. Pagos digitales al por mayor</w:t>
      </w:r>
    </w:p>
    <w:p w14:paraId="6E28A70C" w14:textId="77777777" w:rsidR="004C4E41" w:rsidRPr="004C4E41" w:rsidRDefault="004C4E41" w:rsidP="004C4E41">
      <w:pPr>
        <w:jc w:val="both"/>
      </w:pPr>
      <w:r w:rsidRPr="004C4E41">
        <w:t>En el espacio mayorista, la seguridad y la eficiencia de las transacciones financieras entre intermediarios financieros dependen en gran medida de la naturaleza del activo de liquidación elegido. </w:t>
      </w:r>
    </w:p>
    <w:p w14:paraId="289D577E" w14:textId="77777777" w:rsidR="004C4E41" w:rsidRPr="004C4E41" w:rsidRDefault="004C4E41" w:rsidP="004C4E41">
      <w:pPr>
        <w:jc w:val="both"/>
      </w:pPr>
      <w:r w:rsidRPr="004C4E41">
        <w:t>Las lecciones aprendidas de las crisis financieras anteriores han subrayado la importancia crucial de utilizar activos de liquidación seguros. En respuesta, los miembros del Banco de Pagos Internacionales se han comprometido a promover el uso del dinero del banco central en el espacio de pagos mayoristas y mitigar los riesgos de liquidez y de contraparte. Este compromiso se refleja en el Principio 9 de los Principios para las infraestructuras de los mercados financieros (PFMI) de la CPMI-IOSCO, diseñados para fortalecer y preservar la estabilidad financiera. Y han tenido éxito en la implementación de esta política, ya que el dinero del banco central es en realidad el activo de liquidación dominante en el espacio mayorista.</w:t>
      </w:r>
    </w:p>
    <w:p w14:paraId="37325869" w14:textId="77777777" w:rsidR="004C4E41" w:rsidRPr="004C4E41" w:rsidRDefault="004C4E41" w:rsidP="004C4E41">
      <w:pPr>
        <w:jc w:val="both"/>
      </w:pPr>
      <w:r w:rsidRPr="004C4E41">
        <w:t xml:space="preserve">Sin embargo, a medida que la tokenización de activos cobra impulso, se están utilizando activos de liquidación privados, en particular las monedas estables, y es probable que sean los activos de liquidación preferidos para liquidar transacciones en activos tokenizados, en ausencia de la disponibilidad de dinero del banco central en la tecnología de registro distribuido (DLT). Además, la proliferación de soluciones de liquidación descoordinadas resultantes de la falta de respuesta del </w:t>
      </w:r>
      <w:r w:rsidRPr="004C4E41">
        <w:lastRenderedPageBreak/>
        <w:t>sector público a la tokenización de las finanzas podría conducir a una mayor fragmentación de la liquidez.</w:t>
      </w:r>
    </w:p>
    <w:p w14:paraId="2176939B" w14:textId="77777777" w:rsidR="004C4E41" w:rsidRPr="004C4E41" w:rsidRDefault="004C4E41" w:rsidP="004C4E41">
      <w:pPr>
        <w:jc w:val="both"/>
      </w:pPr>
      <w:r w:rsidRPr="004C4E41">
        <w:t>Es por esto que consideramos que es necesario adaptar la provisión de dinero del banco central a las demandas de un sistema financiero cada vez más digital, en particular a medida que las transacciones que involucran activos tokenizados ganan importancia, para evitar una regresión en la seguridad y eficiencia de las transacciones mayoristas. </w:t>
      </w:r>
    </w:p>
    <w:p w14:paraId="5D096485" w14:textId="77777777" w:rsidR="004C4E41" w:rsidRPr="004C4E41" w:rsidRDefault="004C4E41" w:rsidP="004C4E41">
      <w:pPr>
        <w:jc w:val="both"/>
      </w:pPr>
      <w:r w:rsidRPr="004C4E41">
        <w:t>En este sentido, el Banco de Francia fue uno de los primeros bancos centrales en lanzar un ambicioso programa experimental centrado en el uso de la moneda digital mayorista del banco central (CBDC) en diversos procesos de liquidación de diversos activos. </w:t>
      </w:r>
    </w:p>
    <w:p w14:paraId="4C621988" w14:textId="77777777" w:rsidR="004C4E41" w:rsidRPr="004C4E41" w:rsidRDefault="004C4E41" w:rsidP="004C4E41">
      <w:pPr>
        <w:jc w:val="both"/>
      </w:pPr>
      <w:r w:rsidRPr="004C4E41">
        <w:t>Además, en un panorama en constante evolución, en el que es probable que las infraestructuras tradicionales coexistan con los nuevos sistemas DLT, la interoperabilidad será crucial para evitar la fragmentación del mercado y el dinero del banco central puede ayudar a garantizarla. El experimento de Pago contra Pago (</w:t>
      </w:r>
      <w:proofErr w:type="spellStart"/>
      <w:r w:rsidRPr="004C4E41">
        <w:t>PvP</w:t>
      </w:r>
      <w:proofErr w:type="spellEnd"/>
      <w:r w:rsidRPr="004C4E41">
        <w:t>) en CBDC que llevamos a cabo recientemente con la Autoridad Monetaria de Hong Kong es un ejemplo de ello, con un mecanismo de interoperabilidad respaldado por SWIFT para garantizar la liquidación sincronizada de ambas partes de la transacción.</w:t>
      </w:r>
    </w:p>
    <w:p w14:paraId="6A7A60BA" w14:textId="77777777" w:rsidR="004C4E41" w:rsidRPr="004C4E41" w:rsidRDefault="004C4E41" w:rsidP="004C4E41">
      <w:pPr>
        <w:jc w:val="both"/>
      </w:pPr>
      <w:r w:rsidRPr="004C4E41">
        <w:t>Desde mayo de 2024, el Eurosistema también ha estado probando varias soluciones interoperables para la liquidación de activos financieros tokenizados a través del dinero del banco central y estamos contribuyendo activamente a ello. De cara al futuro, el BPI ha presentado la visión de un libro mayor unificado global, una visión a largo plazo que podría comenzar con el establecimiento de libros mayores unificados regionales, como un Libro Mayor Unificado Europeo. Es probable que el Proyecto Agorá sea un elemento importante en un enfoque exploratorio para concretar esta visión y ponerla a prueba, y también estamos participando en él.</w:t>
      </w:r>
    </w:p>
    <w:p w14:paraId="73DDB61B" w14:textId="77777777" w:rsidR="004C4E41" w:rsidRPr="004C4E41" w:rsidRDefault="004C4E41" w:rsidP="004C4E41">
      <w:pPr>
        <w:jc w:val="both"/>
        <w:rPr>
          <w:b/>
          <w:bCs/>
        </w:rPr>
      </w:pPr>
      <w:r w:rsidRPr="004C4E41">
        <w:rPr>
          <w:b/>
          <w:bCs/>
        </w:rPr>
        <w:t>2. Pagos digitales minoristas</w:t>
      </w:r>
    </w:p>
    <w:p w14:paraId="1BA0114A" w14:textId="77777777" w:rsidR="004C4E41" w:rsidRPr="004C4E41" w:rsidRDefault="004C4E41" w:rsidP="004C4E41">
      <w:pPr>
        <w:jc w:val="both"/>
      </w:pPr>
      <w:r w:rsidRPr="004C4E41">
        <w:t>En el ámbito minorista, a diferencia del mayorista, se observa la coexistencia y complementariedad del dinero de los bancos centrales –en forma de efectivo– y del dinero privado. Si bien su papel respectivo ha evolucionado con el tiempo en función de los hábitos de los usuarios, en Europa ha experimentado cambios muy rápidos y significativos en las últimas décadas, en relación con el desarrollo de la economía digital. El uso del efectivo ha disminuido de forma constante: en 2022, el efectivo se utilizó en el 50% de los pagos en tiendas en Francia, en comparación con el 68% en 2016. Mientras tanto, las soluciones de pago sin efectivo se han desarrollado rápidamente, impulsadas por el crecimiento del comercio electrónico y soluciones innovadoras como los pagos sin contacto y los pagos móviles.</w:t>
      </w:r>
    </w:p>
    <w:p w14:paraId="66C3F183" w14:textId="77777777" w:rsidR="004C4E41" w:rsidRPr="004C4E41" w:rsidRDefault="004C4E41" w:rsidP="004C4E41">
      <w:pPr>
        <w:jc w:val="both"/>
      </w:pPr>
      <w:r w:rsidRPr="004C4E41">
        <w:t>Estos cambios aportan numerosas ventajas a los consumidores, ya que los pagos son cada vez más cómodos, rápidos e innovadores. Por ello, el Banco de Francia apoya y fomenta firmemente la innovación de los actores del sector de los pagos y del sector privado. </w:t>
      </w:r>
    </w:p>
    <w:p w14:paraId="0615202F" w14:textId="77777777" w:rsidR="004C4E41" w:rsidRPr="004C4E41" w:rsidRDefault="004C4E41" w:rsidP="004C4E41">
      <w:pPr>
        <w:jc w:val="both"/>
      </w:pPr>
      <w:r w:rsidRPr="004C4E41">
        <w:t>Sin embargo, la digitalización también plantea desafíos para los bancos centrales. </w:t>
      </w:r>
    </w:p>
    <w:p w14:paraId="73806CA2" w14:textId="77777777" w:rsidR="004C4E41" w:rsidRPr="004C4E41" w:rsidRDefault="004C4E41" w:rsidP="004C4E41">
      <w:pPr>
        <w:numPr>
          <w:ilvl w:val="0"/>
          <w:numId w:val="1"/>
        </w:numPr>
        <w:jc w:val="both"/>
      </w:pPr>
      <w:r w:rsidRPr="004C4E41">
        <w:t xml:space="preserve">En primer lugar, es necesario adoptar marcos regulatorios y de supervisión que fomenten la innovación en un entorno de confianza. Esto es lo que hemos hecho en el caso de los activos digitales privados en Europa, donde la regulación MiCA ha proporcionado un marco </w:t>
      </w:r>
      <w:r w:rsidRPr="004C4E41">
        <w:lastRenderedPageBreak/>
        <w:t>regulatorio claro y armonizado para los proveedores de servicios de criptoactivos (CASP) y los emisores de monedas estables, con el apoyo del Banco de Francia.</w:t>
      </w:r>
    </w:p>
    <w:p w14:paraId="20D48095" w14:textId="566771E3" w:rsidR="004C4E41" w:rsidRPr="004C4E41" w:rsidRDefault="004C4E41" w:rsidP="004C4E41">
      <w:pPr>
        <w:numPr>
          <w:ilvl w:val="0"/>
          <w:numId w:val="1"/>
        </w:numPr>
        <w:jc w:val="both"/>
      </w:pPr>
      <w:r w:rsidRPr="004C4E41">
        <w:t>En segundo lugar, el desarrollo de los pagos digitales conlleva una mayor dependencia de unos pocos actores dominantes no pertenecientes a la UE: sistemas internacionales de tarjetas y proveedores globales de tecnología (</w:t>
      </w:r>
      <w:r w:rsidR="007A44E6" w:rsidRPr="004C4E41">
        <w:t>Big Techs</w:t>
      </w:r>
      <w:r w:rsidRPr="004C4E41">
        <w:t>). Esos actores explotan los grandes efectos de red y poseen muchos estándares patentados que se utilizan en los pagos minoristas. En Europa, esa tendencia plantea problemas en términos de resiliencia operativa, competencia de mercado e innovación y, en última instancia, pone en entredicho la autonomía estratégica de los actores europeos.</w:t>
      </w:r>
    </w:p>
    <w:p w14:paraId="1355A62E" w14:textId="77777777" w:rsidR="004C4E41" w:rsidRPr="004C4E41" w:rsidRDefault="004C4E41" w:rsidP="004C4E41">
      <w:pPr>
        <w:jc w:val="both"/>
      </w:pPr>
      <w:r w:rsidRPr="004C4E41">
        <w:t>El Banco de Francia ha contribuido a resolver esos problemas de dependencia con un claro apoyo, en primer lugar, junto con el Eurosistema, a la aparición de soluciones paneuropeas para los pagos minoristas, como la Iniciativa Europea de Pagos. Su monedero digital, llamado Wero, acaba de lanzarse en Francia, después de Alemania y Bélgica, para pagos entre personas en una primera fase. En los próximos años irá ampliando gradualmente su cobertura a otros países y casos de uso (comercio electrónico y pagos en tiendas).</w:t>
      </w:r>
    </w:p>
    <w:p w14:paraId="57D4E237" w14:textId="77777777" w:rsidR="004C4E41" w:rsidRPr="004C4E41" w:rsidRDefault="004C4E41" w:rsidP="004C4E41">
      <w:pPr>
        <w:jc w:val="both"/>
      </w:pPr>
      <w:r w:rsidRPr="004C4E41">
        <w:t>También hemos contribuido intensamente a la preparación de una CBDC minorista, es decir, el euro digital. Esta nueva forma de dinero público sería comparable a un "billete digital". Su curso legal haría que se pudiera utilizar en toda la zona del euro, en todos los contextos, lo que apoyaría la integración europea. Ofrecería una privacidad similar a la del dinero en efectivo, en particular gracias a la funcionalidad offline que también reforzaría nuestra resiliencia. Las normas e infraestructuras subyacentes estarían regidas por actores europeos, lo que también respaldaría nuestra autonomía estratégica.</w:t>
      </w:r>
    </w:p>
    <w:p w14:paraId="1CF737F7" w14:textId="77777777" w:rsidR="004C4E41" w:rsidRPr="004C4E41" w:rsidRDefault="004C4E41" w:rsidP="004C4E41">
      <w:pPr>
        <w:jc w:val="both"/>
      </w:pPr>
      <w:r w:rsidRPr="004C4E41">
        <w:t>El euro digital también pretende perpetuar la "colaboración público-privada" que se encuentra en el corazón de nuestro sistema monetario. Sería distribuido por los bancos y otros intermediarios privados, con un modelo de negocio viable y atractivo, preservando así la intermediación financiera. También podría facilitar el desarrollo de proyectos paneuropeos privados que podrían beneficiarse de sus estándares abiertos y armonizados para ampliar su alcance y beneficiarse de grandes efectos de red.</w:t>
      </w:r>
    </w:p>
    <w:p w14:paraId="532ACC5B" w14:textId="77777777" w:rsidR="004C4E41" w:rsidRPr="004C4E41" w:rsidRDefault="004C4E41" w:rsidP="004C4E41">
      <w:pPr>
        <w:jc w:val="both"/>
        <w:rPr>
          <w:b/>
          <w:bCs/>
        </w:rPr>
      </w:pPr>
      <w:r w:rsidRPr="004C4E41">
        <w:rPr>
          <w:b/>
          <w:bCs/>
        </w:rPr>
        <w:t>Conclusión</w:t>
      </w:r>
    </w:p>
    <w:p w14:paraId="7C74F553" w14:textId="35A8EB54" w:rsidR="004C4E41" w:rsidRPr="004C4E41" w:rsidRDefault="004C4E41" w:rsidP="004C4E41">
      <w:pPr>
        <w:jc w:val="both"/>
      </w:pPr>
      <w:r w:rsidRPr="004C4E41">
        <w:t>A medida que los pagos se vuelven cada vez más digitales, los bancos centrales se enfrentan al problema de revisar la forma en que proporcionan servicios monetarios de banco central a su economía. En el Banco de Francia, consideramos que el Eurosistema debe estar preparado para adaptar su provisión de dinero de banco central tanto en el espacio mayorista como en el minorista. Consideramos que esto es necesario para mantener la "unidad del dinero" en nuestra economía y la solidez de nuestro sistema monetario, tanto desde una perspectiva de estabilidad como de soberanía. En el ámbito mayorista, una CBDC acompañaría y aseguraría adecuadamente una tendencia hacia la tokenización de activos financieros. También podría ser un primer paso hacia la provisión de una nueva forma de infraestructura descentralizada, un Libro Mayor Unificado Europeo. En el ámbito minorista, vemos la implementación de un euro digital como una evolución natural y un complemento del efectivo, cuyo éxito debería basarse en una sólida asociación público-privada.</w:t>
      </w:r>
    </w:p>
    <w:p w14:paraId="2DF47567" w14:textId="77777777" w:rsidR="004C4E41" w:rsidRPr="004C4E41" w:rsidRDefault="004C4E41" w:rsidP="004C4E41">
      <w:pPr>
        <w:jc w:val="both"/>
        <w:rPr>
          <w:b/>
          <w:bCs/>
        </w:rPr>
      </w:pPr>
      <w:r w:rsidRPr="004C4E41">
        <w:rPr>
          <w:b/>
          <w:bCs/>
        </w:rPr>
        <w:lastRenderedPageBreak/>
        <w:t>Acerca del autor</w:t>
      </w:r>
    </w:p>
    <w:p w14:paraId="75CAA252" w14:textId="50911342" w:rsidR="00E60429" w:rsidRDefault="004C4E41" w:rsidP="004C4E41">
      <w:pPr>
        <w:jc w:val="both"/>
      </w:pPr>
      <w:r w:rsidRPr="004C4E41">
        <w:rPr>
          <w:noProof/>
        </w:rPr>
        <w:drawing>
          <wp:inline distT="0" distB="0" distL="0" distR="0" wp14:anchorId="62F2B838" wp14:editId="0699AD11">
            <wp:extent cx="5612130" cy="6521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652145"/>
                    </a:xfrm>
                    <a:prstGeom prst="rect">
                      <a:avLst/>
                    </a:prstGeom>
                  </pic:spPr>
                </pic:pic>
              </a:graphicData>
            </a:graphic>
          </wp:inline>
        </w:drawing>
      </w:r>
    </w:p>
    <w:p w14:paraId="3BD7C560" w14:textId="2C58CCE2" w:rsidR="004C4E41" w:rsidRDefault="004C4E41" w:rsidP="004C4E41">
      <w:pPr>
        <w:jc w:val="both"/>
      </w:pPr>
    </w:p>
    <w:p w14:paraId="65B8CBFF" w14:textId="77777777" w:rsidR="007A44E6" w:rsidRDefault="007A44E6" w:rsidP="004C4E41">
      <w:pPr>
        <w:jc w:val="both"/>
      </w:pPr>
    </w:p>
    <w:sectPr w:rsidR="007A44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7031"/>
    <w:multiLevelType w:val="multilevel"/>
    <w:tmpl w:val="A260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41"/>
    <w:rsid w:val="004C4E41"/>
    <w:rsid w:val="007A44E6"/>
    <w:rsid w:val="00DC3587"/>
    <w:rsid w:val="00E60429"/>
    <w:rsid w:val="00F44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103A"/>
  <w15:chartTrackingRefBased/>
  <w15:docId w15:val="{BF80BCE4-ABC3-441B-BCCE-D10122A6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4E41"/>
    <w:rPr>
      <w:color w:val="0563C1" w:themeColor="hyperlink"/>
      <w:u w:val="single"/>
    </w:rPr>
  </w:style>
  <w:style w:type="character" w:styleId="Mencinsinresolver">
    <w:name w:val="Unresolved Mention"/>
    <w:basedOn w:val="Fuentedeprrafopredeter"/>
    <w:uiPriority w:val="99"/>
    <w:semiHidden/>
    <w:unhideWhenUsed/>
    <w:rsid w:val="004C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97728">
      <w:bodyDiv w:val="1"/>
      <w:marLeft w:val="0"/>
      <w:marRight w:val="0"/>
      <w:marTop w:val="0"/>
      <w:marBottom w:val="0"/>
      <w:divBdr>
        <w:top w:val="none" w:sz="0" w:space="0" w:color="auto"/>
        <w:left w:val="none" w:sz="0" w:space="0" w:color="auto"/>
        <w:bottom w:val="none" w:sz="0" w:space="0" w:color="auto"/>
        <w:right w:val="none" w:sz="0" w:space="0" w:color="auto"/>
      </w:divBdr>
      <w:divsChild>
        <w:div w:id="1563445633">
          <w:marLeft w:val="0"/>
          <w:marRight w:val="0"/>
          <w:marTop w:val="0"/>
          <w:marBottom w:val="0"/>
          <w:divBdr>
            <w:top w:val="none" w:sz="0" w:space="0" w:color="auto"/>
            <w:left w:val="none" w:sz="0" w:space="0" w:color="auto"/>
            <w:bottom w:val="none" w:sz="0" w:space="0" w:color="auto"/>
            <w:right w:val="none" w:sz="0" w:space="0" w:color="auto"/>
          </w:divBdr>
        </w:div>
        <w:div w:id="414329983">
          <w:marLeft w:val="0"/>
          <w:marRight w:val="0"/>
          <w:marTop w:val="0"/>
          <w:marBottom w:val="0"/>
          <w:divBdr>
            <w:top w:val="single" w:sz="18" w:space="15" w:color="AA332F"/>
            <w:left w:val="none" w:sz="0" w:space="0" w:color="auto"/>
            <w:bottom w:val="none" w:sz="0" w:space="0" w:color="auto"/>
            <w:right w:val="none" w:sz="0" w:space="0" w:color="auto"/>
          </w:divBdr>
          <w:divsChild>
            <w:div w:id="510800440">
              <w:marLeft w:val="0"/>
              <w:marRight w:val="0"/>
              <w:marTop w:val="0"/>
              <w:marBottom w:val="0"/>
              <w:divBdr>
                <w:top w:val="none" w:sz="0" w:space="0" w:color="auto"/>
                <w:left w:val="none" w:sz="0" w:space="0" w:color="auto"/>
                <w:bottom w:val="none" w:sz="0" w:space="0" w:color="auto"/>
                <w:right w:val="none" w:sz="0" w:space="0" w:color="auto"/>
              </w:divBdr>
              <w:divsChild>
                <w:div w:id="2005089191">
                  <w:marLeft w:val="0"/>
                  <w:marRight w:val="0"/>
                  <w:marTop w:val="0"/>
                  <w:marBottom w:val="0"/>
                  <w:divBdr>
                    <w:top w:val="none" w:sz="0" w:space="0" w:color="auto"/>
                    <w:left w:val="none" w:sz="0" w:space="0" w:color="auto"/>
                    <w:bottom w:val="none" w:sz="0" w:space="0" w:color="auto"/>
                    <w:right w:val="none" w:sz="0" w:space="0" w:color="auto"/>
                  </w:divBdr>
                  <w:divsChild>
                    <w:div w:id="85539510">
                      <w:marLeft w:val="0"/>
                      <w:marRight w:val="0"/>
                      <w:marTop w:val="0"/>
                      <w:marBottom w:val="0"/>
                      <w:divBdr>
                        <w:top w:val="none" w:sz="0" w:space="0" w:color="auto"/>
                        <w:left w:val="none" w:sz="0" w:space="0" w:color="auto"/>
                        <w:bottom w:val="none" w:sz="0" w:space="0" w:color="auto"/>
                        <w:right w:val="none" w:sz="0" w:space="0" w:color="auto"/>
                      </w:divBdr>
                    </w:div>
                  </w:divsChild>
                </w:div>
                <w:div w:id="713963609">
                  <w:marLeft w:val="0"/>
                  <w:marRight w:val="0"/>
                  <w:marTop w:val="0"/>
                  <w:marBottom w:val="0"/>
                  <w:divBdr>
                    <w:top w:val="none" w:sz="0" w:space="0" w:color="auto"/>
                    <w:left w:val="none" w:sz="0" w:space="0" w:color="auto"/>
                    <w:bottom w:val="none" w:sz="0" w:space="0" w:color="auto"/>
                    <w:right w:val="none" w:sz="0" w:space="0" w:color="auto"/>
                  </w:divBdr>
                  <w:divsChild>
                    <w:div w:id="278029967">
                      <w:marLeft w:val="0"/>
                      <w:marRight w:val="0"/>
                      <w:marTop w:val="0"/>
                      <w:marBottom w:val="0"/>
                      <w:divBdr>
                        <w:top w:val="none" w:sz="0" w:space="0" w:color="auto"/>
                        <w:left w:val="none" w:sz="0" w:space="0" w:color="auto"/>
                        <w:bottom w:val="none" w:sz="0" w:space="0" w:color="auto"/>
                        <w:right w:val="none" w:sz="0" w:space="0" w:color="auto"/>
                      </w:divBdr>
                    </w:div>
                  </w:divsChild>
                </w:div>
                <w:div w:id="2102751194">
                  <w:marLeft w:val="0"/>
                  <w:marRight w:val="0"/>
                  <w:marTop w:val="0"/>
                  <w:marBottom w:val="0"/>
                  <w:divBdr>
                    <w:top w:val="none" w:sz="0" w:space="0" w:color="auto"/>
                    <w:left w:val="none" w:sz="0" w:space="0" w:color="auto"/>
                    <w:bottom w:val="none" w:sz="0" w:space="0" w:color="auto"/>
                    <w:right w:val="none" w:sz="0" w:space="0" w:color="auto"/>
                  </w:divBdr>
                  <w:divsChild>
                    <w:div w:id="10761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0772">
          <w:marLeft w:val="0"/>
          <w:marRight w:val="0"/>
          <w:marTop w:val="0"/>
          <w:marBottom w:val="0"/>
          <w:divBdr>
            <w:top w:val="none" w:sz="0" w:space="0" w:color="auto"/>
            <w:left w:val="none" w:sz="0" w:space="0" w:color="auto"/>
            <w:bottom w:val="none" w:sz="0" w:space="0" w:color="auto"/>
            <w:right w:val="none" w:sz="0" w:space="0" w:color="auto"/>
          </w:divBdr>
        </w:div>
        <w:div w:id="1395811858">
          <w:marLeft w:val="0"/>
          <w:marRight w:val="0"/>
          <w:marTop w:val="600"/>
          <w:marBottom w:val="0"/>
          <w:divBdr>
            <w:top w:val="none" w:sz="0" w:space="0" w:color="auto"/>
            <w:left w:val="none" w:sz="0" w:space="0" w:color="auto"/>
            <w:bottom w:val="none" w:sz="0" w:space="0" w:color="auto"/>
            <w:right w:val="none" w:sz="0" w:space="0" w:color="auto"/>
          </w:divBdr>
          <w:divsChild>
            <w:div w:id="20058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review/r241028i.pdf" TargetMode="External"/><Relationship Id="rId5" Type="http://schemas.openxmlformats.org/officeDocument/2006/relationships/hyperlink" Target="https://www.bis.org/author/denis_beau.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1515</Words>
  <Characters>8334</Characters>
  <Application>Microsoft Office Word</Application>
  <DocSecurity>0</DocSecurity>
  <Lines>69</Lines>
  <Paragraphs>19</Paragraphs>
  <ScaleCrop>false</ScaleCrop>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2024-11-07T04:31:00Z</dcterms:created>
  <dcterms:modified xsi:type="dcterms:W3CDTF">2024-11-19T01:29:00Z</dcterms:modified>
</cp:coreProperties>
</file>